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AA75BA">
      <w:pPr>
        <w:keepNext w:val="0"/>
        <w:keepLines w:val="0"/>
        <w:pageBreakBefore w:val="0"/>
        <w:widowControl w:val="0"/>
        <w:kinsoku/>
        <w:wordWrap/>
        <w:overflowPunct/>
        <w:topLinePunct w:val="0"/>
        <w:autoSpaceDE/>
        <w:autoSpaceDN/>
        <w:bidi w:val="0"/>
        <w:adjustRightInd/>
        <w:snapToGrid w:val="0"/>
        <w:spacing w:line="720" w:lineRule="exact"/>
        <w:jc w:val="center"/>
        <w:textAlignment w:val="auto"/>
        <w:rPr>
          <w:rFonts w:hint="eastAsia" w:ascii="方正公文小标宋" w:hAnsi="方正公文小标宋" w:eastAsia="方正公文小标宋" w:cs="方正公文小标宋"/>
          <w:b/>
          <w:bCs w:val="0"/>
          <w:sz w:val="36"/>
          <w:szCs w:val="36"/>
          <w:lang w:val="en-US" w:eastAsia="zh-CN"/>
        </w:rPr>
      </w:pPr>
    </w:p>
    <w:p w14:paraId="571AF6C3">
      <w:pPr>
        <w:keepNext w:val="0"/>
        <w:keepLines w:val="0"/>
        <w:pageBreakBefore w:val="0"/>
        <w:widowControl w:val="0"/>
        <w:kinsoku/>
        <w:wordWrap/>
        <w:overflowPunct/>
        <w:topLinePunct w:val="0"/>
        <w:autoSpaceDE/>
        <w:autoSpaceDN/>
        <w:bidi w:val="0"/>
        <w:adjustRightInd/>
        <w:snapToGrid w:val="0"/>
        <w:spacing w:line="720" w:lineRule="exact"/>
        <w:jc w:val="center"/>
        <w:textAlignment w:val="auto"/>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人工智能训练师</w:t>
      </w:r>
      <w:r>
        <w:rPr>
          <w:rFonts w:hint="eastAsia" w:ascii="方正小标宋简体" w:hAnsi="方正小标宋简体" w:eastAsia="方正小标宋简体" w:cs="方正小标宋简体"/>
          <w:b w:val="0"/>
          <w:bCs/>
          <w:sz w:val="44"/>
          <w:szCs w:val="44"/>
          <w:lang w:val="en-US" w:eastAsia="zh-Hans"/>
        </w:rPr>
        <w:t>赛项</w:t>
      </w:r>
      <w:r>
        <w:rPr>
          <w:rFonts w:hint="eastAsia" w:ascii="方正小标宋简体" w:hAnsi="方正小标宋简体" w:eastAsia="方正小标宋简体" w:cs="方正小标宋简体"/>
          <w:b w:val="0"/>
          <w:bCs/>
          <w:sz w:val="44"/>
          <w:szCs w:val="44"/>
          <w:lang w:val="en-US" w:eastAsia="zh-CN"/>
        </w:rPr>
        <w:t>技术规程</w:t>
      </w:r>
    </w:p>
    <w:p w14:paraId="13380971">
      <w:pPr>
        <w:pStyle w:val="10"/>
      </w:pPr>
    </w:p>
    <w:p w14:paraId="74AFC323">
      <w:pPr>
        <w:pStyle w:val="3"/>
        <w:keepNext/>
        <w:keepLines/>
        <w:pageBreakBefore w:val="0"/>
        <w:widowControl w:val="0"/>
        <w:kinsoku/>
        <w:wordWrap/>
        <w:overflowPunct/>
        <w:topLinePunct w:val="0"/>
        <w:autoSpaceDE/>
        <w:autoSpaceDN/>
        <w:bidi w:val="0"/>
        <w:adjustRightInd/>
        <w:snapToGrid/>
        <w:spacing w:before="157" w:beforeLines="50" w:after="157" w:afterLines="50" w:line="560" w:lineRule="exact"/>
        <w:ind w:firstLine="643"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一、总则</w:t>
      </w:r>
    </w:p>
    <w:p w14:paraId="3B840B2C">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（一）基本原则</w:t>
      </w:r>
    </w:p>
    <w:p w14:paraId="6F7D3507">
      <w:pPr>
        <w:pStyle w:val="10"/>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为深入贯彻落实习近平总书记对技能人才工作重要指示精神，大力培养支撑中国制造、中国创造的高素质技术技能人才，弘扬精益求精的工匠精神，根据安徽省人力资源和社会保障厅《关于组织开展安徽省职业技能竞赛--2024 年省级行业职业技能竞赛的通知》，安徽省工业和信息化厅、安徽省人力资源和社会保障厅、安徽省教育厅、安徽省总工会、中国共产主义青年团安徽省委员会、安徽省妇女联合会共同主办“安徽省职业技能竞赛-2024年全省工业和信息化行业职业技能大赛人工智能训练师赛项”。</w:t>
      </w:r>
    </w:p>
    <w:p w14:paraId="3676352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（二）大赛宗旨</w:t>
      </w:r>
    </w:p>
    <w:p w14:paraId="72E199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本次省级行业职业技能竞赛，以“新时代、新技能、新梦想”为主题，着力提高职业技能竞赛的科学化、规范化、专业化水平，坚持开放、公平、绿色、廉洁的办赛理念，创新竞赛形式、提高竞赛质量、推广竞赛成果，实现以赛促学、以赛促训、以赛促评、以赛促建，通过竞赛宣传贯彻人工智能训练师国家职业技能相关标准，促进国内企业人工智能训练师职业的技能提升，推动院校相关专业的人才培养创新改革。为全面提高劳动者素质，推动经济高质量发展提供坚实基础，营造劳动光荣、技能宝贵、创造伟大的社会风尚，为现代化美好安徽建设提供有力人才支撑。</w:t>
      </w:r>
    </w:p>
    <w:p w14:paraId="5E9B90F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（三）竞赛时间和地点</w:t>
      </w:r>
    </w:p>
    <w:p w14:paraId="17A0535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竞赛时间：2024年11月8日-10日</w:t>
      </w:r>
    </w:p>
    <w:p w14:paraId="4FC45BF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竞赛地点：安徽财贸职业学院（安徽省合肥市肥西县翡翠路900号，幸福坝地铁站3号口步行170米）</w:t>
      </w:r>
    </w:p>
    <w:p w14:paraId="0BAAD497">
      <w:pPr>
        <w:pStyle w:val="10"/>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食宿及费用说明：食宿统一安排，费用自理。</w:t>
      </w:r>
    </w:p>
    <w:p w14:paraId="02B879D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（四）赛项组别</w:t>
      </w:r>
    </w:p>
    <w:p w14:paraId="184A37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赛项分为职工组（含教师）和学生组</w:t>
      </w:r>
    </w:p>
    <w:p w14:paraId="7468F969">
      <w:pPr>
        <w:pStyle w:val="3"/>
        <w:keepNext/>
        <w:keepLines/>
        <w:pageBreakBefore w:val="0"/>
        <w:widowControl w:val="0"/>
        <w:kinsoku/>
        <w:wordWrap/>
        <w:overflowPunct/>
        <w:topLinePunct w:val="0"/>
        <w:autoSpaceDE/>
        <w:autoSpaceDN/>
        <w:bidi w:val="0"/>
        <w:adjustRightInd/>
        <w:snapToGrid/>
        <w:spacing w:before="157" w:beforeLines="50" w:after="157" w:afterLines="50" w:line="560" w:lineRule="exact"/>
        <w:ind w:firstLine="643"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二、竞赛组织</w:t>
      </w:r>
    </w:p>
    <w:p w14:paraId="3B76242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_GB2312"/>
          <w:b/>
          <w:bCs/>
          <w:color w:val="000000" w:themeColor="text1"/>
          <w:kern w:val="2"/>
          <w:sz w:val="28"/>
          <w:szCs w:val="28"/>
          <w:lang w:val="en-US" w:eastAsia="zh-CN" w:bidi="ar-SA"/>
          <w14:textFill>
            <w14:solidFill>
              <w14:schemeClr w14:val="tx1"/>
            </w14:solidFill>
          </w14:textFill>
        </w:rPr>
      </w:pPr>
      <w:r>
        <w:rPr>
          <w:rFonts w:hint="eastAsia" w:ascii="仿宋" w:hAnsi="仿宋" w:eastAsia="仿宋" w:cs="仿宋_GB2312"/>
          <w:b/>
          <w:bCs/>
          <w:color w:val="000000" w:themeColor="text1"/>
          <w:kern w:val="2"/>
          <w:sz w:val="28"/>
          <w:szCs w:val="28"/>
          <w:lang w:val="en-US" w:eastAsia="zh-CN" w:bidi="ar-SA"/>
          <w14:textFill>
            <w14:solidFill>
              <w14:schemeClr w14:val="tx1"/>
            </w14:solidFill>
          </w14:textFill>
        </w:rPr>
        <w:t>（一）主办单位</w:t>
      </w:r>
    </w:p>
    <w:p w14:paraId="74155A97">
      <w:pPr>
        <w:keepNext w:val="0"/>
        <w:keepLines w:val="0"/>
        <w:pageBreakBefore w:val="0"/>
        <w:widowControl w:val="0"/>
        <w:kinsoku/>
        <w:wordWrap/>
        <w:overflowPunct/>
        <w:topLinePunct w:val="0"/>
        <w:autoSpaceDE/>
        <w:autoSpaceDN/>
        <w:bidi w:val="0"/>
        <w:adjustRightInd/>
        <w:snapToGrid/>
        <w:spacing w:line="560" w:lineRule="exact"/>
        <w:ind w:left="105" w:leftChars="50" w:firstLine="560" w:firstLineChars="200"/>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安徽省工业和信息化厅、安徽省人力资源和社会保障厅、安徽省教育厅、安徽省总工会、中国共产主义青年团安徽省委员会、安徽省妇女联合会</w:t>
      </w:r>
    </w:p>
    <w:p w14:paraId="7E6BBAA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ascii="仿宋" w:hAnsi="仿宋" w:eastAsia="仿宋" w:cs="仿宋_GB2312"/>
          <w:b/>
          <w:bCs/>
          <w:color w:val="000000" w:themeColor="text1"/>
          <w:sz w:val="28"/>
          <w:szCs w:val="28"/>
          <w14:textFill>
            <w14:solidFill>
              <w14:schemeClr w14:val="tx1"/>
            </w14:solidFill>
          </w14:textFill>
        </w:rPr>
      </w:pPr>
      <w:r>
        <w:rPr>
          <w:rFonts w:hint="eastAsia" w:ascii="仿宋" w:hAnsi="仿宋" w:eastAsia="仿宋" w:cs="仿宋_GB2312"/>
          <w:b/>
          <w:bCs/>
          <w:color w:val="000000" w:themeColor="text1"/>
          <w:kern w:val="2"/>
          <w:sz w:val="28"/>
          <w:szCs w:val="28"/>
          <w:lang w:val="en-US" w:eastAsia="zh-CN" w:bidi="ar-SA"/>
          <w14:textFill>
            <w14:solidFill>
              <w14:schemeClr w14:val="tx1"/>
            </w14:solidFill>
          </w14:textFill>
        </w:rPr>
        <w:t>（二）</w:t>
      </w:r>
      <w:r>
        <w:rPr>
          <w:rFonts w:ascii="仿宋" w:hAnsi="仿宋" w:eastAsia="仿宋" w:cs="仿宋_GB2312"/>
          <w:b/>
          <w:bCs/>
          <w:color w:val="000000" w:themeColor="text1"/>
          <w:sz w:val="28"/>
          <w:szCs w:val="28"/>
          <w14:textFill>
            <w14:solidFill>
              <w14:schemeClr w14:val="tx1"/>
            </w14:solidFill>
          </w14:textFill>
        </w:rPr>
        <w:t>承办单位</w:t>
      </w:r>
    </w:p>
    <w:p w14:paraId="5DFE3384">
      <w:pPr>
        <w:keepNext w:val="0"/>
        <w:keepLines w:val="0"/>
        <w:pageBreakBefore w:val="0"/>
        <w:widowControl w:val="0"/>
        <w:kinsoku/>
        <w:wordWrap/>
        <w:overflowPunct/>
        <w:topLinePunct w:val="0"/>
        <w:autoSpaceDE/>
        <w:autoSpaceDN/>
        <w:bidi w:val="0"/>
        <w:adjustRightInd/>
        <w:snapToGrid/>
        <w:spacing w:line="560" w:lineRule="exact"/>
        <w:ind w:left="105" w:leftChars="50" w:firstLine="560" w:firstLineChars="200"/>
        <w:textAlignment w:val="auto"/>
        <w:rPr>
          <w:rFonts w:hint="default"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安徽省经济发展促进中心、</w:t>
      </w:r>
      <w:r>
        <w:rPr>
          <w:rFonts w:hint="default" w:ascii="仿宋_GB2312" w:hAnsi="仿宋_GB2312" w:eastAsia="仿宋_GB2312" w:cs="仿宋_GB2312"/>
          <w:kern w:val="2"/>
          <w:sz w:val="28"/>
          <w:szCs w:val="28"/>
          <w:lang w:val="en-US" w:eastAsia="zh-CN" w:bidi="ar-SA"/>
        </w:rPr>
        <w:t>安徽财贸职业学院</w:t>
      </w:r>
    </w:p>
    <w:p w14:paraId="6ACB83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_GB2312"/>
          <w:b/>
          <w:bCs/>
          <w:color w:val="000000" w:themeColor="text1"/>
          <w:kern w:val="2"/>
          <w:sz w:val="28"/>
          <w:szCs w:val="28"/>
          <w:lang w:val="en-US" w:eastAsia="zh-CN" w:bidi="ar-SA"/>
          <w14:textFill>
            <w14:solidFill>
              <w14:schemeClr w14:val="tx1"/>
            </w14:solidFill>
          </w14:textFill>
        </w:rPr>
      </w:pPr>
      <w:r>
        <w:rPr>
          <w:rFonts w:hint="eastAsia" w:ascii="仿宋" w:hAnsi="仿宋" w:eastAsia="仿宋" w:cs="仿宋_GB2312"/>
          <w:b/>
          <w:bCs/>
          <w:color w:val="000000" w:themeColor="text1"/>
          <w:kern w:val="2"/>
          <w:sz w:val="28"/>
          <w:szCs w:val="28"/>
          <w:lang w:val="en-US" w:eastAsia="zh-CN" w:bidi="ar-SA"/>
          <w14:textFill>
            <w14:solidFill>
              <w14:schemeClr w14:val="tx1"/>
            </w14:solidFill>
          </w14:textFill>
        </w:rPr>
        <w:t>（三）协办单位</w:t>
      </w:r>
    </w:p>
    <w:p w14:paraId="73DB3D63">
      <w:pPr>
        <w:keepNext w:val="0"/>
        <w:keepLines w:val="0"/>
        <w:pageBreakBefore w:val="0"/>
        <w:widowControl w:val="0"/>
        <w:kinsoku/>
        <w:wordWrap/>
        <w:overflowPunct/>
        <w:topLinePunct w:val="0"/>
        <w:autoSpaceDE/>
        <w:autoSpaceDN/>
        <w:bidi w:val="0"/>
        <w:adjustRightInd/>
        <w:snapToGrid/>
        <w:spacing w:line="560" w:lineRule="exact"/>
        <w:ind w:left="105" w:leftChars="50" w:firstLine="560" w:firstLineChars="200"/>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中国职业经理人协会就业与职业发展（安徽）创新基地</w:t>
      </w:r>
    </w:p>
    <w:p w14:paraId="345DC079">
      <w:pPr>
        <w:keepNext w:val="0"/>
        <w:keepLines w:val="0"/>
        <w:pageBreakBefore w:val="0"/>
        <w:widowControl w:val="0"/>
        <w:kinsoku/>
        <w:wordWrap/>
        <w:overflowPunct/>
        <w:topLinePunct w:val="0"/>
        <w:autoSpaceDE/>
        <w:autoSpaceDN/>
        <w:bidi w:val="0"/>
        <w:adjustRightInd/>
        <w:snapToGrid/>
        <w:spacing w:line="560" w:lineRule="exact"/>
        <w:ind w:left="105" w:leftChars="50" w:firstLine="560" w:firstLineChars="200"/>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安徽展航信息科技发展有限公司</w:t>
      </w:r>
    </w:p>
    <w:p w14:paraId="24BE9D7F">
      <w:pPr>
        <w:keepNext w:val="0"/>
        <w:keepLines w:val="0"/>
        <w:pageBreakBefore w:val="0"/>
        <w:widowControl w:val="0"/>
        <w:kinsoku/>
        <w:wordWrap/>
        <w:overflowPunct/>
        <w:topLinePunct w:val="0"/>
        <w:autoSpaceDE/>
        <w:autoSpaceDN/>
        <w:bidi w:val="0"/>
        <w:adjustRightInd/>
        <w:snapToGrid/>
        <w:spacing w:line="560" w:lineRule="exact"/>
        <w:ind w:left="105" w:leftChars="50" w:firstLine="560" w:firstLineChars="200"/>
        <w:textAlignment w:val="auto"/>
        <w:rPr>
          <w:rFonts w:hint="default" w:ascii="仿宋_GB2312" w:hAnsi="仿宋_GB2312" w:eastAsia="仿宋_GB2312" w:cs="仿宋_GB2312"/>
          <w:kern w:val="2"/>
          <w:sz w:val="28"/>
          <w:szCs w:val="28"/>
          <w:lang w:val="en-US" w:eastAsia="zh-CN" w:bidi="ar-SA"/>
        </w:rPr>
      </w:pPr>
      <w:r>
        <w:rPr>
          <w:rFonts w:hint="default" w:ascii="仿宋_GB2312" w:hAnsi="仿宋_GB2312" w:eastAsia="仿宋_GB2312" w:cs="仿宋_GB2312"/>
          <w:kern w:val="2"/>
          <w:sz w:val="28"/>
          <w:szCs w:val="28"/>
          <w:lang w:val="en-US" w:eastAsia="zh-CN" w:bidi="ar-SA"/>
        </w:rPr>
        <w:t>安徽谐安信息技术有限公司</w:t>
      </w:r>
    </w:p>
    <w:p w14:paraId="7FB5DCEE">
      <w:pPr>
        <w:pStyle w:val="10"/>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textAlignment w:val="auto"/>
        <w:rPr>
          <w:rFonts w:hint="default"/>
          <w:lang w:val="en-US" w:eastAsia="zh-CN"/>
        </w:rPr>
      </w:pPr>
      <w:r>
        <w:rPr>
          <w:rFonts w:hint="eastAsia" w:ascii="仿宋" w:hAnsi="仿宋" w:eastAsia="仿宋" w:cs="仿宋_GB2312"/>
          <w:color w:val="000000" w:themeColor="text1"/>
          <w:sz w:val="28"/>
          <w:szCs w:val="28"/>
          <w:lang w:val="en-US" w:eastAsia="zh-CN"/>
          <w14:textFill>
            <w14:solidFill>
              <w14:schemeClr w14:val="tx1"/>
            </w14:solidFill>
          </w14:textFill>
        </w:rPr>
        <w:t>（</w:t>
      </w:r>
      <w:r>
        <w:rPr>
          <w:rFonts w:hint="eastAsia" w:ascii="仿宋" w:hAnsi="仿宋" w:eastAsia="仿宋" w:cs="仿宋_GB2312"/>
          <w:b/>
          <w:bCs/>
          <w:color w:val="000000" w:themeColor="text1"/>
          <w:kern w:val="2"/>
          <w:sz w:val="28"/>
          <w:szCs w:val="28"/>
          <w:lang w:val="en-US" w:eastAsia="zh-CN" w:bidi="ar-SA"/>
          <w14:textFill>
            <w14:solidFill>
              <w14:schemeClr w14:val="tx1"/>
            </w14:solidFill>
          </w14:textFill>
        </w:rPr>
        <w:t>四）技术支持单位</w:t>
      </w:r>
    </w:p>
    <w:p w14:paraId="460BBC25">
      <w:pPr>
        <w:keepNext w:val="0"/>
        <w:keepLines w:val="0"/>
        <w:pageBreakBefore w:val="0"/>
        <w:widowControl w:val="0"/>
        <w:kinsoku/>
        <w:wordWrap/>
        <w:overflowPunct/>
        <w:topLinePunct w:val="0"/>
        <w:autoSpaceDE/>
        <w:autoSpaceDN/>
        <w:bidi w:val="0"/>
        <w:adjustRightInd/>
        <w:snapToGrid/>
        <w:spacing w:line="560" w:lineRule="exact"/>
        <w:ind w:left="105" w:leftChars="50" w:firstLine="560" w:firstLineChars="200"/>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湖南比邻星科技有限公司</w:t>
      </w:r>
    </w:p>
    <w:p w14:paraId="0406C0E7">
      <w:pPr>
        <w:pStyle w:val="3"/>
        <w:keepNext/>
        <w:keepLines/>
        <w:pageBreakBefore w:val="0"/>
        <w:widowControl w:val="0"/>
        <w:kinsoku/>
        <w:wordWrap/>
        <w:overflowPunct/>
        <w:topLinePunct w:val="0"/>
        <w:autoSpaceDE/>
        <w:autoSpaceDN/>
        <w:bidi w:val="0"/>
        <w:adjustRightInd/>
        <w:snapToGrid/>
        <w:spacing w:before="157" w:beforeLines="50" w:after="157" w:afterLines="50" w:line="560" w:lineRule="exact"/>
        <w:ind w:firstLine="643"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三、相关人员</w:t>
      </w:r>
    </w:p>
    <w:p w14:paraId="58CC4FD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（一）参赛对象及表彰奖励</w:t>
      </w:r>
    </w:p>
    <w:p w14:paraId="0A12B3A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1.参赛对象</w:t>
      </w:r>
    </w:p>
    <w:p w14:paraId="4F5B7D5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（1）职工组（含教师）</w:t>
      </w:r>
    </w:p>
    <w:p w14:paraId="02AFA87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职工组（含教师）为具有人工智能应用相关工作经历的省内企业在职人员，教师为省内高等院校、职业院校（含技工技师类院校）在职人员。</w:t>
      </w:r>
    </w:p>
    <w:p w14:paraId="6852118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（2）学生组</w:t>
      </w:r>
    </w:p>
    <w:p w14:paraId="187C721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学生组为省内相关专业的中职、高职、技工技师、本科全日制在籍学生，均可报名参加竞赛。</w:t>
      </w:r>
    </w:p>
    <w:p w14:paraId="77074B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2.表彰奖励</w:t>
      </w:r>
    </w:p>
    <w:p w14:paraId="4FC594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b w:val="0"/>
          <w:bCs w:val="0"/>
          <w:color w:val="000000" w:themeColor="text1"/>
          <w:sz w:val="28"/>
          <w:szCs w:val="28"/>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28"/>
          <w:szCs w:val="28"/>
          <w14:textFill>
            <w14:solidFill>
              <w14:schemeClr w14:val="tx1"/>
            </w14:solidFill>
          </w14:textFill>
        </w:rPr>
        <w:t>职工组（含教师）</w:t>
      </w:r>
    </w:p>
    <w:p w14:paraId="25C0E3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heme="minorBidi"/>
          <w:color w:val="000000"/>
          <w:kern w:val="0"/>
          <w:sz w:val="28"/>
          <w:szCs w:val="28"/>
          <w:u w:color="000000"/>
          <w:lang w:val="en-US" w:eastAsia="zh-CN" w:bidi="ar-SA"/>
        </w:rPr>
      </w:pPr>
      <w:r>
        <w:rPr>
          <w:rFonts w:hint="default" w:ascii="Calibri" w:hAnsi="Calibri" w:eastAsia="仿宋_GB2312" w:cs="Calibri"/>
          <w:color w:val="000000"/>
          <w:kern w:val="0"/>
          <w:sz w:val="28"/>
          <w:szCs w:val="28"/>
          <w:u w:color="000000"/>
          <w:lang w:val="en-US" w:eastAsia="zh-CN" w:bidi="ar-SA"/>
        </w:rPr>
        <w:t>①</w:t>
      </w:r>
      <w:r>
        <w:rPr>
          <w:rFonts w:hint="default" w:ascii="Times New Roman" w:hAnsi="Times New Roman" w:eastAsia="仿宋_GB2312" w:cstheme="minorBidi"/>
          <w:color w:val="000000"/>
          <w:kern w:val="0"/>
          <w:sz w:val="28"/>
          <w:szCs w:val="28"/>
          <w:u w:color="000000"/>
          <w:lang w:val="en-US" w:eastAsia="zh-CN" w:bidi="ar-SA"/>
        </w:rPr>
        <w:t>大赛设一、二、三等奖，对未获得上述奖项且在参赛总人数50%以内的选手可以颁发优胜奖， 授予奖杯、证书</w:t>
      </w:r>
      <w:r>
        <w:rPr>
          <w:rFonts w:hint="eastAsia" w:ascii="Times New Roman" w:hAnsi="Times New Roman" w:eastAsia="仿宋_GB2312" w:cstheme="minorBidi"/>
          <w:color w:val="000000"/>
          <w:kern w:val="0"/>
          <w:sz w:val="28"/>
          <w:szCs w:val="28"/>
          <w:u w:color="000000"/>
          <w:lang w:val="en-US" w:eastAsia="zh-CN" w:bidi="ar-SA"/>
        </w:rPr>
        <w:t>。</w:t>
      </w:r>
    </w:p>
    <w:p w14:paraId="1BBB2C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heme="minorBidi"/>
          <w:color w:val="000000"/>
          <w:kern w:val="0"/>
          <w:sz w:val="28"/>
          <w:szCs w:val="28"/>
          <w:u w:color="000000"/>
          <w:lang w:val="en-US" w:eastAsia="zh-CN" w:bidi="ar-SA"/>
        </w:rPr>
      </w:pPr>
      <w:r>
        <w:rPr>
          <w:rFonts w:hint="default" w:ascii="Calibri" w:hAnsi="Calibri" w:eastAsia="仿宋_GB2312" w:cs="Calibri"/>
          <w:color w:val="000000"/>
          <w:kern w:val="0"/>
          <w:sz w:val="28"/>
          <w:szCs w:val="28"/>
          <w:u w:color="000000"/>
          <w:lang w:val="en-US" w:eastAsia="zh-CN" w:bidi="ar-SA"/>
        </w:rPr>
        <w:t>②</w:t>
      </w:r>
      <w:r>
        <w:rPr>
          <w:rFonts w:hint="default" w:ascii="Times New Roman" w:hAnsi="Times New Roman" w:eastAsia="仿宋_GB2312" w:cstheme="minorBidi"/>
          <w:color w:val="000000"/>
          <w:kern w:val="0"/>
          <w:sz w:val="28"/>
          <w:szCs w:val="28"/>
          <w:u w:color="000000"/>
          <w:lang w:val="en-US" w:eastAsia="zh-CN" w:bidi="ar-SA"/>
        </w:rPr>
        <w:t>参赛选手，根据比赛结果，获得第1—3名的职工选手符合条件的，由大赛组委会向有关部门申报“安徽省</w:t>
      </w:r>
      <w:r>
        <w:rPr>
          <w:rFonts w:hint="eastAsia" w:ascii="Times New Roman" w:hAnsi="Times New Roman" w:eastAsia="仿宋_GB2312" w:cstheme="minorBidi"/>
          <w:color w:val="000000"/>
          <w:kern w:val="0"/>
          <w:sz w:val="28"/>
          <w:szCs w:val="28"/>
          <w:u w:color="000000"/>
          <w:lang w:val="en-US" w:eastAsia="zh-CN" w:bidi="ar-SA"/>
        </w:rPr>
        <w:t>技术</w:t>
      </w:r>
      <w:r>
        <w:rPr>
          <w:rFonts w:hint="default" w:ascii="Times New Roman" w:hAnsi="Times New Roman" w:eastAsia="仿宋_GB2312" w:cstheme="minorBidi"/>
          <w:color w:val="000000"/>
          <w:kern w:val="0"/>
          <w:sz w:val="28"/>
          <w:szCs w:val="28"/>
          <w:u w:color="000000"/>
          <w:lang w:val="en-US" w:eastAsia="zh-CN" w:bidi="ar-SA"/>
        </w:rPr>
        <w:t xml:space="preserve">能手”“安徽省工人先锋号”“安徽省金牌职工”“安徽省青年岗位能手”“安徽省巾帼建功标兵” 等称号。已获过以上称号的选手，不重复授予。 </w:t>
      </w:r>
    </w:p>
    <w:p w14:paraId="1DE5F9A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000000"/>
          <w:kern w:val="0"/>
          <w:sz w:val="28"/>
          <w:szCs w:val="28"/>
          <w:u w:color="000000"/>
          <w:lang w:val="en-US" w:eastAsia="zh-CN" w:bidi="ar-SA"/>
        </w:rPr>
      </w:pPr>
      <w:r>
        <w:rPr>
          <w:rFonts w:hint="default" w:ascii="Calibri" w:hAnsi="Calibri" w:eastAsia="仿宋_GB2312" w:cs="Calibri"/>
          <w:color w:val="000000"/>
          <w:kern w:val="0"/>
          <w:sz w:val="28"/>
          <w:szCs w:val="28"/>
          <w:u w:color="000000"/>
          <w:lang w:val="en-US" w:eastAsia="zh-CN" w:bidi="ar-SA"/>
        </w:rPr>
        <w:t>③</w:t>
      </w:r>
      <w:r>
        <w:rPr>
          <w:rFonts w:hint="eastAsia" w:ascii="仿宋_GB2312" w:hAnsi="仿宋_GB2312" w:eastAsia="仿宋_GB2312" w:cs="仿宋_GB2312"/>
          <w:color w:val="000000"/>
          <w:kern w:val="0"/>
          <w:sz w:val="28"/>
          <w:szCs w:val="28"/>
          <w:u w:color="000000"/>
          <w:lang w:val="en-US" w:eastAsia="zh-CN" w:bidi="ar-SA"/>
        </w:rPr>
        <w:t>排名前 20%的选手可晋升职业技能等级二级/技师，已具有职业技能等级二级/技师的，可晋升职业技能等级一级/高级技师；排名前 21%-40%的选手，可晋升职业技能等级三级/高级工，已具有职业技能等级三级/高级工的，可晋升职业技能等级二级/技师；排名前 41%-50%的选手，可晋升职业技能等级三级/高级工。</w:t>
      </w:r>
    </w:p>
    <w:p w14:paraId="0B45677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kern w:val="2"/>
          <w:sz w:val="28"/>
          <w:szCs w:val="28"/>
          <w:lang w:val="en-US" w:eastAsia="zh-CN" w:bidi="ar-SA"/>
        </w:rPr>
      </w:pPr>
      <w:r>
        <w:rPr>
          <w:rFonts w:hint="eastAsia" w:ascii="宋体" w:hAnsi="宋体" w:eastAsia="宋体" w:cs="宋体"/>
          <w:color w:val="000000"/>
          <w:kern w:val="0"/>
          <w:sz w:val="28"/>
          <w:szCs w:val="28"/>
          <w:u w:color="000000"/>
          <w:lang w:val="en-US" w:eastAsia="zh-CN" w:bidi="ar-SA"/>
        </w:rPr>
        <w:t>④</w:t>
      </w:r>
      <w:r>
        <w:rPr>
          <w:rFonts w:hint="eastAsia" w:ascii="仿宋_GB2312" w:hAnsi="仿宋_GB2312" w:eastAsia="仿宋_GB2312" w:cs="仿宋_GB2312"/>
          <w:kern w:val="2"/>
          <w:sz w:val="28"/>
          <w:szCs w:val="28"/>
          <w:lang w:val="en-US" w:eastAsia="zh-CN" w:bidi="ar-SA"/>
        </w:rPr>
        <w:t>参赛选手按名次获得奖金，奖励标准为：</w:t>
      </w:r>
    </w:p>
    <w:p w14:paraId="7308F6D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第1名，奖金5000元；</w:t>
      </w:r>
    </w:p>
    <w:p w14:paraId="16F809A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第2-3名，奖金各3000元；</w:t>
      </w:r>
    </w:p>
    <w:p w14:paraId="49CB520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000000"/>
          <w:kern w:val="0"/>
          <w:sz w:val="28"/>
          <w:szCs w:val="28"/>
          <w:u w:color="000000"/>
          <w:lang w:val="en-US" w:eastAsia="zh-CN" w:bidi="ar-SA"/>
        </w:rPr>
      </w:pPr>
      <w:r>
        <w:rPr>
          <w:rFonts w:hint="eastAsia" w:ascii="仿宋_GB2312" w:hAnsi="仿宋_GB2312" w:eastAsia="仿宋_GB2312" w:cs="仿宋_GB2312"/>
          <w:kern w:val="2"/>
          <w:sz w:val="28"/>
          <w:szCs w:val="28"/>
          <w:lang w:val="en-US" w:eastAsia="zh-CN" w:bidi="ar-SA"/>
        </w:rPr>
        <w:t>第4-6名，奖金各2000元。</w:t>
      </w:r>
    </w:p>
    <w:p w14:paraId="04F6E4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2</w:t>
      </w:r>
      <w:r>
        <w:rPr>
          <w:rFonts w:hint="eastAsia" w:ascii="仿宋_GB2312" w:hAnsi="仿宋_GB2312" w:eastAsia="仿宋_GB2312" w:cs="仿宋_GB2312"/>
          <w:b/>
          <w:bCs/>
          <w:color w:val="000000" w:themeColor="text1"/>
          <w:sz w:val="28"/>
          <w:szCs w:val="28"/>
          <w14:textFill>
            <w14:solidFill>
              <w14:schemeClr w14:val="tx1"/>
            </w14:solidFill>
          </w14:textFill>
        </w:rPr>
        <w:t xml:space="preserve">）学生组 </w:t>
      </w:r>
    </w:p>
    <w:p w14:paraId="7FC66D8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ascii="仿宋_GB2312" w:hAnsi="仿宋_GB2312" w:eastAsia="仿宋_GB2312" w:cs="仿宋_GB2312"/>
          <w:color w:val="000000"/>
          <w:kern w:val="0"/>
          <w:sz w:val="28"/>
          <w:szCs w:val="28"/>
          <w:u w:color="000000"/>
          <w:lang w:val="en-US" w:eastAsia="zh-CN" w:bidi="ar-SA"/>
        </w:rPr>
      </w:pPr>
      <w:r>
        <w:rPr>
          <w:rFonts w:hint="default" w:ascii="Calibri" w:hAnsi="Calibri" w:eastAsia="仿宋_GB2312" w:cs="Calibri"/>
          <w:color w:val="000000"/>
          <w:kern w:val="0"/>
          <w:sz w:val="28"/>
          <w:szCs w:val="28"/>
          <w:u w:color="000000"/>
          <w:lang w:val="en-US" w:eastAsia="zh-CN" w:bidi="ar-SA"/>
        </w:rPr>
        <w:t>①</w:t>
      </w:r>
      <w:r>
        <w:rPr>
          <w:rFonts w:hint="default" w:ascii="仿宋_GB2312" w:hAnsi="仿宋_GB2312" w:eastAsia="仿宋_GB2312" w:cs="仿宋_GB2312"/>
          <w:color w:val="000000"/>
          <w:kern w:val="0"/>
          <w:sz w:val="28"/>
          <w:szCs w:val="28"/>
          <w:u w:color="000000"/>
          <w:lang w:val="en-US" w:eastAsia="zh-CN" w:bidi="ar-SA"/>
        </w:rPr>
        <w:t>大赛设一、二、三等奖，对未获得上述奖项且在参赛总人数50%以内的选手可以颁发优胜奖， 授予奖杯、证书</w:t>
      </w:r>
      <w:r>
        <w:rPr>
          <w:rFonts w:hint="eastAsia" w:ascii="仿宋_GB2312" w:hAnsi="仿宋_GB2312" w:eastAsia="仿宋_GB2312" w:cs="仿宋_GB2312"/>
          <w:color w:val="000000"/>
          <w:kern w:val="0"/>
          <w:sz w:val="28"/>
          <w:szCs w:val="28"/>
          <w:u w:color="000000"/>
          <w:lang w:val="en-US" w:eastAsia="zh-CN" w:bidi="ar-SA"/>
        </w:rPr>
        <w:t>。</w:t>
      </w:r>
    </w:p>
    <w:p w14:paraId="34AE330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ascii="仿宋_GB2312" w:hAnsi="仿宋_GB2312" w:eastAsia="仿宋_GB2312" w:cs="仿宋_GB2312"/>
          <w:color w:val="000000"/>
          <w:kern w:val="0"/>
          <w:sz w:val="28"/>
          <w:szCs w:val="28"/>
          <w:u w:color="000000"/>
          <w:lang w:val="en-US" w:eastAsia="zh-CN" w:bidi="ar-SA"/>
        </w:rPr>
      </w:pPr>
      <w:r>
        <w:rPr>
          <w:rFonts w:hint="default" w:ascii="Calibri" w:hAnsi="Calibri" w:eastAsia="仿宋_GB2312" w:cs="Calibri"/>
          <w:color w:val="000000"/>
          <w:kern w:val="0"/>
          <w:sz w:val="28"/>
          <w:szCs w:val="28"/>
          <w:u w:color="000000"/>
          <w:lang w:val="en-US" w:eastAsia="zh-CN" w:bidi="ar-SA"/>
        </w:rPr>
        <w:t>②</w:t>
      </w:r>
      <w:r>
        <w:rPr>
          <w:rFonts w:hint="eastAsia" w:ascii="仿宋_GB2312" w:hAnsi="仿宋_GB2312" w:eastAsia="仿宋_GB2312" w:cs="仿宋_GB2312"/>
          <w:kern w:val="2"/>
          <w:sz w:val="28"/>
          <w:szCs w:val="28"/>
          <w:lang w:val="en-US" w:eastAsia="zh-CN" w:bidi="ar-SA"/>
        </w:rPr>
        <w:t>排名前50%的</w:t>
      </w:r>
      <w:r>
        <w:rPr>
          <w:rFonts w:hint="default" w:ascii="仿宋_GB2312" w:hAnsi="仿宋_GB2312" w:eastAsia="仿宋_GB2312" w:cs="仿宋_GB2312"/>
          <w:kern w:val="2"/>
          <w:sz w:val="28"/>
          <w:szCs w:val="28"/>
          <w:lang w:val="en-US" w:eastAsia="zh-CN" w:bidi="ar-SA"/>
        </w:rPr>
        <w:t xml:space="preserve">学生组选手最高晋升至职业技能等级三级/高级工。 </w:t>
      </w:r>
    </w:p>
    <w:p w14:paraId="40196E1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kern w:val="2"/>
          <w:sz w:val="28"/>
          <w:szCs w:val="28"/>
          <w:lang w:val="en-US" w:eastAsia="zh-CN" w:bidi="ar-SA"/>
        </w:rPr>
      </w:pPr>
      <w:r>
        <w:rPr>
          <w:rFonts w:hint="default" w:ascii="Calibri" w:hAnsi="Calibri" w:eastAsia="仿宋_GB2312" w:cs="Calibri"/>
          <w:color w:val="000000"/>
          <w:kern w:val="0"/>
          <w:sz w:val="28"/>
          <w:szCs w:val="28"/>
          <w:u w:color="000000"/>
          <w:lang w:val="en-US" w:eastAsia="zh-CN" w:bidi="ar-SA"/>
        </w:rPr>
        <w:t>③</w:t>
      </w:r>
      <w:r>
        <w:rPr>
          <w:rFonts w:hint="eastAsia" w:ascii="仿宋_GB2312" w:hAnsi="仿宋_GB2312" w:eastAsia="仿宋_GB2312" w:cs="仿宋_GB2312"/>
          <w:kern w:val="2"/>
          <w:sz w:val="28"/>
          <w:szCs w:val="28"/>
          <w:lang w:val="en-US" w:eastAsia="zh-CN" w:bidi="ar-SA"/>
        </w:rPr>
        <w:t>参赛选手按名次获得奖金，奖励标准为：</w:t>
      </w:r>
    </w:p>
    <w:p w14:paraId="01BDF51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第1名，奖金5000元；</w:t>
      </w:r>
    </w:p>
    <w:p w14:paraId="02C5EA4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第2-3名，奖金各3000元；</w:t>
      </w:r>
    </w:p>
    <w:p w14:paraId="0856B65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ascii="仿宋_GB2312" w:hAnsi="仿宋_GB2312" w:eastAsia="仿宋_GB2312" w:cs="仿宋_GB2312"/>
          <w:color w:val="000000"/>
          <w:kern w:val="0"/>
          <w:sz w:val="28"/>
          <w:szCs w:val="28"/>
          <w:u w:color="000000"/>
          <w:lang w:val="en-US" w:eastAsia="zh-CN" w:bidi="ar-SA"/>
        </w:rPr>
      </w:pPr>
      <w:r>
        <w:rPr>
          <w:rFonts w:hint="eastAsia" w:ascii="仿宋_GB2312" w:hAnsi="仿宋_GB2312" w:eastAsia="仿宋_GB2312" w:cs="仿宋_GB2312"/>
          <w:kern w:val="2"/>
          <w:sz w:val="28"/>
          <w:szCs w:val="28"/>
          <w:lang w:val="en-US" w:eastAsia="zh-CN" w:bidi="ar-SA"/>
        </w:rPr>
        <w:t>第4-6名，奖金各2000元。</w:t>
      </w:r>
    </w:p>
    <w:p w14:paraId="6AAA4DB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3）</w:t>
      </w:r>
      <w:r>
        <w:rPr>
          <w:rFonts w:hint="eastAsia" w:ascii="仿宋_GB2312" w:hAnsi="仿宋_GB2312" w:eastAsia="仿宋_GB2312" w:cs="仿宋_GB2312"/>
          <w:b/>
          <w:bCs/>
          <w:color w:val="000000" w:themeColor="text1"/>
          <w:sz w:val="28"/>
          <w:szCs w:val="28"/>
          <w14:textFill>
            <w14:solidFill>
              <w14:schemeClr w14:val="tx1"/>
            </w14:solidFill>
          </w14:textFill>
        </w:rPr>
        <w:t>其他奖励</w:t>
      </w:r>
    </w:p>
    <w:p w14:paraId="6A3A11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仿宋_GB2312" w:cstheme="minorBidi"/>
          <w:color w:val="000000"/>
          <w:kern w:val="0"/>
          <w:sz w:val="28"/>
          <w:szCs w:val="28"/>
          <w:u w:color="000000"/>
          <w:lang w:val="en-US" w:eastAsia="zh-CN" w:bidi="ar-SA"/>
        </w:rPr>
      </w:pPr>
      <w:r>
        <w:rPr>
          <w:rFonts w:hint="default" w:ascii="Times New Roman" w:hAnsi="Times New Roman" w:eastAsia="仿宋_GB2312" w:cstheme="minorBidi"/>
          <w:color w:val="000000"/>
          <w:kern w:val="0"/>
          <w:sz w:val="28"/>
          <w:szCs w:val="28"/>
          <w:u w:color="000000"/>
          <w:lang w:val="en-US" w:eastAsia="zh-CN" w:bidi="ar-SA"/>
        </w:rPr>
        <w:t>优秀组织奖根据组织参赛情况授予奖</w:t>
      </w:r>
      <w:r>
        <w:rPr>
          <w:rFonts w:hint="eastAsia" w:ascii="Times New Roman" w:hAnsi="Times New Roman" w:eastAsia="仿宋_GB2312" w:cstheme="minorBidi"/>
          <w:color w:val="000000"/>
          <w:kern w:val="0"/>
          <w:sz w:val="28"/>
          <w:szCs w:val="28"/>
          <w:u w:color="000000"/>
          <w:lang w:val="en-US" w:eastAsia="zh-CN" w:bidi="ar-SA"/>
        </w:rPr>
        <w:t>牌。</w:t>
      </w:r>
    </w:p>
    <w:p w14:paraId="4F848E2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lang w:val="en-US" w:eastAsia="zh-CN"/>
        </w:rPr>
      </w:pPr>
      <w:r>
        <w:rPr>
          <w:rFonts w:hint="eastAsia" w:ascii="仿宋_GB2312" w:hAnsi="仿宋_GB2312" w:eastAsia="仿宋_GB2312" w:cs="仿宋_GB2312"/>
          <w:kern w:val="2"/>
          <w:sz w:val="28"/>
          <w:szCs w:val="28"/>
          <w:lang w:val="en-US" w:eastAsia="zh-CN" w:bidi="ar-SA"/>
        </w:rPr>
        <w:t>依据各赛项决赛成绩、工作表现和承办单位推荐等情况，颁发“优秀组织单位”“优秀工作者”“优秀裁判员”“优秀教练”证书。</w:t>
      </w:r>
    </w:p>
    <w:p w14:paraId="660D63E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（二）裁判设置及要求</w:t>
      </w:r>
    </w:p>
    <w:p w14:paraId="323EE61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rPr>
          <w:rFonts w:ascii="Times New Roman" w:hAnsi="Times New Roman" w:eastAsia="仿宋_GB2312" w:cstheme="minorBidi"/>
          <w:b/>
          <w:bCs/>
          <w:color w:val="000000"/>
          <w:kern w:val="0"/>
          <w:sz w:val="28"/>
          <w:szCs w:val="28"/>
          <w:u w:color="000000"/>
          <w:lang w:val="en-US" w:eastAsia="zh-CN" w:bidi="ar-SA"/>
        </w:rPr>
      </w:pPr>
      <w:r>
        <w:rPr>
          <w:rFonts w:hint="eastAsia" w:ascii="仿宋_GB2312" w:hAnsi="仿宋_GB2312" w:eastAsia="仿宋_GB2312" w:cs="仿宋_GB2312"/>
          <w:b/>
          <w:bCs/>
          <w:color w:val="000000" w:themeColor="text1"/>
          <w:sz w:val="28"/>
          <w:szCs w:val="28"/>
          <w14:textFill>
            <w14:solidFill>
              <w14:schemeClr w14:val="tx1"/>
            </w14:solidFill>
          </w14:textFill>
        </w:rPr>
        <w:t>（</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1</w:t>
      </w:r>
      <w:r>
        <w:rPr>
          <w:rFonts w:hint="eastAsia" w:ascii="仿宋_GB2312" w:hAnsi="仿宋_GB2312" w:eastAsia="仿宋_GB2312" w:cs="仿宋_GB2312"/>
          <w:b/>
          <w:bCs/>
          <w:color w:val="000000" w:themeColor="text1"/>
          <w:sz w:val="28"/>
          <w:szCs w:val="28"/>
          <w14:textFill>
            <w14:solidFill>
              <w14:schemeClr w14:val="tx1"/>
            </w14:solidFill>
          </w14:textFill>
        </w:rPr>
        <w:t>）</w:t>
      </w:r>
      <w:r>
        <w:rPr>
          <w:rFonts w:hint="eastAsia" w:ascii="Times New Roman" w:hAnsi="Times New Roman" w:eastAsia="仿宋_GB2312" w:cstheme="minorBidi"/>
          <w:b/>
          <w:bCs/>
          <w:color w:val="000000"/>
          <w:kern w:val="0"/>
          <w:sz w:val="28"/>
          <w:szCs w:val="28"/>
          <w:u w:color="000000"/>
          <w:lang w:val="en-US" w:eastAsia="zh-CN" w:bidi="ar-SA"/>
        </w:rPr>
        <w:t>裁判设置</w:t>
      </w:r>
    </w:p>
    <w:p w14:paraId="0B093A1D">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textAlignment w:val="baseline"/>
        <w:rPr>
          <w:rFonts w:ascii="Times New Roman" w:hAnsi="Times New Roman" w:eastAsia="仿宋_GB2312" w:cstheme="minorBidi"/>
          <w:color w:val="000000"/>
          <w:kern w:val="0"/>
          <w:sz w:val="28"/>
          <w:szCs w:val="28"/>
          <w:u w:color="000000"/>
          <w:lang w:val="en-US" w:eastAsia="zh-CN" w:bidi="ar-SA"/>
        </w:rPr>
      </w:pPr>
      <w:r>
        <w:rPr>
          <w:rFonts w:ascii="Times New Roman" w:hAnsi="Times New Roman" w:eastAsia="仿宋_GB2312" w:cstheme="minorBidi"/>
          <w:color w:val="000000"/>
          <w:kern w:val="0"/>
          <w:sz w:val="28"/>
          <w:szCs w:val="28"/>
          <w:u w:color="000000"/>
          <w:lang w:val="en-US" w:eastAsia="zh-CN" w:bidi="ar-SA"/>
        </w:rPr>
        <w:t>裁判长由赛项执委会向大赛执委会推荐，由大赛执委会聘任。赛前建立健全裁判组。裁判组为裁判长负责制，划分裁判小组（2人为一组），并设有专职督导仲裁员1-2名，负责竞赛过程全程监督，防止营私舞弊。</w:t>
      </w:r>
    </w:p>
    <w:p w14:paraId="39CC2D6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仿宋_GB2312" w:cstheme="minorBidi"/>
          <w:b/>
          <w:bCs/>
          <w:color w:val="000000"/>
          <w:kern w:val="0"/>
          <w:sz w:val="28"/>
          <w:szCs w:val="28"/>
          <w:u w:color="000000"/>
          <w:lang w:val="en-US" w:eastAsia="zh-CN" w:bidi="ar-SA"/>
        </w:rPr>
      </w:pPr>
      <w:r>
        <w:rPr>
          <w:rFonts w:hint="eastAsia" w:ascii="仿宋_GB2312" w:hAnsi="仿宋_GB2312" w:eastAsia="仿宋_GB2312" w:cs="仿宋_GB2312"/>
          <w:b/>
          <w:bCs/>
          <w:color w:val="000000" w:themeColor="text1"/>
          <w:sz w:val="28"/>
          <w:szCs w:val="28"/>
          <w14:textFill>
            <w14:solidFill>
              <w14:schemeClr w14:val="tx1"/>
            </w14:solidFill>
          </w14:textFill>
        </w:rPr>
        <w:t>（</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2</w:t>
      </w:r>
      <w:r>
        <w:rPr>
          <w:rFonts w:hint="eastAsia" w:ascii="仿宋_GB2312" w:hAnsi="仿宋_GB2312" w:eastAsia="仿宋_GB2312" w:cs="仿宋_GB2312"/>
          <w:b/>
          <w:bCs/>
          <w:color w:val="000000" w:themeColor="text1"/>
          <w:sz w:val="28"/>
          <w:szCs w:val="28"/>
          <w14:textFill>
            <w14:solidFill>
              <w14:schemeClr w14:val="tx1"/>
            </w14:solidFill>
          </w14:textFill>
        </w:rPr>
        <w:t>）</w:t>
      </w:r>
      <w:r>
        <w:rPr>
          <w:rFonts w:hint="eastAsia" w:ascii="Times New Roman" w:hAnsi="Times New Roman" w:eastAsia="仿宋_GB2312" w:cstheme="minorBidi"/>
          <w:b/>
          <w:bCs/>
          <w:color w:val="000000"/>
          <w:kern w:val="0"/>
          <w:sz w:val="28"/>
          <w:szCs w:val="28"/>
          <w:u w:color="000000"/>
          <w:lang w:val="en-US" w:eastAsia="zh-CN" w:bidi="ar-SA"/>
        </w:rPr>
        <w:t>裁判及专家人员要求</w:t>
      </w:r>
    </w:p>
    <w:p w14:paraId="2817C9BB">
      <w:pPr>
        <w:spacing w:line="36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表2</w:t>
      </w:r>
      <w:r>
        <w:rPr>
          <w:rFonts w:hint="eastAsia" w:ascii="仿宋_GB2312" w:hAnsi="仿宋_GB2312" w:eastAsia="仿宋_GB2312" w:cs="仿宋_GB2312"/>
          <w:sz w:val="28"/>
          <w:szCs w:val="28"/>
        </w:rPr>
        <w:t>裁判建议一览表</w:t>
      </w:r>
    </w:p>
    <w:tbl>
      <w:tblPr>
        <w:tblStyle w:val="15"/>
        <w:tblW w:w="925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732"/>
        <w:gridCol w:w="1769"/>
        <w:gridCol w:w="4321"/>
        <w:gridCol w:w="2428"/>
      </w:tblGrid>
      <w:tr w14:paraId="1A3B49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32" w:type="dxa"/>
            <w:vAlign w:val="center"/>
          </w:tcPr>
          <w:p w14:paraId="1F74A113">
            <w:pPr>
              <w:spacing w:line="400" w:lineRule="exact"/>
              <w:jc w:val="center"/>
              <w:rPr>
                <w:rFonts w:ascii="Times New Roman" w:hAnsi="Times New Roman" w:eastAsia="仿宋_GB2312"/>
                <w:b w:val="0"/>
                <w:bCs w:val="0"/>
                <w:color w:val="000000"/>
                <w:sz w:val="28"/>
                <w:szCs w:val="28"/>
              </w:rPr>
            </w:pPr>
            <w:r>
              <w:rPr>
                <w:rFonts w:ascii="Times New Roman" w:hAnsi="Times New Roman" w:eastAsia="仿宋_GB2312"/>
                <w:b w:val="0"/>
                <w:bCs w:val="0"/>
                <w:color w:val="000000"/>
                <w:sz w:val="28"/>
                <w:szCs w:val="28"/>
              </w:rPr>
              <w:t>序号</w:t>
            </w:r>
          </w:p>
        </w:tc>
        <w:tc>
          <w:tcPr>
            <w:tcW w:w="1769" w:type="dxa"/>
            <w:vAlign w:val="center"/>
          </w:tcPr>
          <w:p w14:paraId="0D94F37D">
            <w:pPr>
              <w:spacing w:line="400" w:lineRule="exact"/>
              <w:jc w:val="center"/>
              <w:rPr>
                <w:rFonts w:ascii="Times New Roman" w:hAnsi="Times New Roman" w:eastAsia="仿宋_GB2312"/>
                <w:b w:val="0"/>
                <w:bCs w:val="0"/>
                <w:color w:val="000000"/>
                <w:sz w:val="28"/>
                <w:szCs w:val="28"/>
              </w:rPr>
            </w:pPr>
            <w:r>
              <w:rPr>
                <w:rFonts w:ascii="Times New Roman" w:hAnsi="Times New Roman" w:eastAsia="仿宋_GB2312"/>
                <w:b w:val="0"/>
                <w:bCs w:val="0"/>
                <w:color w:val="000000"/>
                <w:sz w:val="28"/>
                <w:szCs w:val="28"/>
              </w:rPr>
              <w:t>专业技术方向</w:t>
            </w:r>
          </w:p>
        </w:tc>
        <w:tc>
          <w:tcPr>
            <w:tcW w:w="4321" w:type="dxa"/>
            <w:vAlign w:val="center"/>
          </w:tcPr>
          <w:p w14:paraId="3CCEB510">
            <w:pPr>
              <w:spacing w:line="400" w:lineRule="exact"/>
              <w:jc w:val="center"/>
              <w:rPr>
                <w:rFonts w:ascii="Times New Roman" w:hAnsi="Times New Roman" w:eastAsia="仿宋_GB2312"/>
                <w:b w:val="0"/>
                <w:bCs w:val="0"/>
                <w:color w:val="000000"/>
                <w:sz w:val="28"/>
                <w:szCs w:val="28"/>
              </w:rPr>
            </w:pPr>
            <w:r>
              <w:rPr>
                <w:rFonts w:ascii="Times New Roman" w:hAnsi="Times New Roman" w:eastAsia="仿宋_GB2312"/>
                <w:b w:val="0"/>
                <w:bCs w:val="0"/>
                <w:color w:val="000000"/>
                <w:sz w:val="28"/>
                <w:szCs w:val="28"/>
              </w:rPr>
              <w:t>知识能力要求</w:t>
            </w:r>
          </w:p>
          <w:p w14:paraId="59DFA0AA">
            <w:pPr>
              <w:spacing w:line="400" w:lineRule="exact"/>
              <w:jc w:val="center"/>
              <w:rPr>
                <w:rFonts w:ascii="Times New Roman" w:hAnsi="Times New Roman" w:eastAsia="仿宋_GB2312"/>
                <w:b w:val="0"/>
                <w:bCs w:val="0"/>
                <w:color w:val="000000"/>
                <w:sz w:val="28"/>
                <w:szCs w:val="28"/>
              </w:rPr>
            </w:pPr>
            <w:r>
              <w:rPr>
                <w:rFonts w:ascii="Times New Roman" w:hAnsi="Times New Roman" w:eastAsia="仿宋_GB2312"/>
                <w:b w:val="0"/>
                <w:bCs w:val="0"/>
                <w:color w:val="000000"/>
                <w:sz w:val="28"/>
                <w:szCs w:val="28"/>
              </w:rPr>
              <w:t>执裁、教学、工作经历</w:t>
            </w:r>
          </w:p>
        </w:tc>
        <w:tc>
          <w:tcPr>
            <w:tcW w:w="2428" w:type="dxa"/>
            <w:vAlign w:val="center"/>
          </w:tcPr>
          <w:p w14:paraId="0D79CF51">
            <w:pPr>
              <w:spacing w:line="400" w:lineRule="exact"/>
              <w:jc w:val="center"/>
              <w:rPr>
                <w:rFonts w:ascii="Times New Roman" w:hAnsi="Times New Roman" w:eastAsia="仿宋_GB2312"/>
                <w:b w:val="0"/>
                <w:bCs w:val="0"/>
                <w:color w:val="000000"/>
                <w:sz w:val="28"/>
                <w:szCs w:val="28"/>
              </w:rPr>
            </w:pPr>
            <w:r>
              <w:rPr>
                <w:rFonts w:ascii="Times New Roman" w:hAnsi="Times New Roman" w:eastAsia="仿宋_GB2312"/>
                <w:b w:val="0"/>
                <w:bCs w:val="0"/>
                <w:color w:val="000000"/>
                <w:sz w:val="28"/>
                <w:szCs w:val="28"/>
              </w:rPr>
              <w:t>专业技术职称</w:t>
            </w:r>
          </w:p>
        </w:tc>
      </w:tr>
      <w:tr w14:paraId="66773B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732" w:type="dxa"/>
            <w:vAlign w:val="center"/>
          </w:tcPr>
          <w:p w14:paraId="1A7184EB">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769" w:type="dxa"/>
            <w:vAlign w:val="center"/>
          </w:tcPr>
          <w:p w14:paraId="56B9C00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人工智能</w:t>
            </w:r>
            <w:r>
              <w:rPr>
                <w:rFonts w:hint="eastAsia" w:ascii="仿宋_GB2312" w:hAnsi="仿宋_GB2312" w:eastAsia="仿宋_GB2312" w:cs="仿宋_GB2312"/>
                <w:sz w:val="28"/>
                <w:szCs w:val="28"/>
              </w:rPr>
              <w:t>（裁判长）</w:t>
            </w:r>
          </w:p>
        </w:tc>
        <w:tc>
          <w:tcPr>
            <w:tcW w:w="4321" w:type="dxa"/>
            <w:vAlign w:val="center"/>
          </w:tcPr>
          <w:p w14:paraId="2CDD130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lang w:val="en-US" w:eastAsia="zh-CN"/>
              </w:rPr>
              <w:t>1.</w:t>
            </w:r>
            <w:r>
              <w:rPr>
                <w:rFonts w:hint="eastAsia" w:ascii="仿宋_GB2312" w:hAnsi="仿宋_GB2312" w:eastAsia="仿宋_GB2312" w:cs="仿宋_GB2312"/>
                <w:bCs/>
                <w:color w:val="000000"/>
                <w:sz w:val="28"/>
                <w:szCs w:val="28"/>
              </w:rPr>
              <w:t>省级以上执裁和组织执裁经验；具有领导能力，组织协调能力</w:t>
            </w:r>
          </w:p>
          <w:p w14:paraId="1B4E84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color w:val="000000"/>
                <w:sz w:val="28"/>
                <w:szCs w:val="28"/>
                <w:lang w:val="en-US" w:eastAsia="zh-CN"/>
              </w:rPr>
              <w:t>2.</w:t>
            </w:r>
            <w:r>
              <w:rPr>
                <w:rFonts w:hint="eastAsia" w:ascii="仿宋_GB2312" w:hAnsi="仿宋_GB2312" w:eastAsia="仿宋_GB2312" w:cs="仿宋_GB2312"/>
                <w:bCs/>
                <w:color w:val="000000"/>
                <w:sz w:val="28"/>
                <w:szCs w:val="28"/>
              </w:rPr>
              <w:t>5年以上相关专业教学经验或相关行业工作经验。</w:t>
            </w:r>
          </w:p>
        </w:tc>
        <w:tc>
          <w:tcPr>
            <w:tcW w:w="2428" w:type="dxa"/>
            <w:vAlign w:val="center"/>
          </w:tcPr>
          <w:p w14:paraId="3764A73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专业相关高级</w:t>
            </w:r>
            <w:r>
              <w:rPr>
                <w:rFonts w:hint="eastAsia" w:ascii="仿宋_GB2312" w:hAnsi="仿宋_GB2312" w:eastAsia="仿宋_GB2312" w:cs="仿宋_GB2312"/>
                <w:sz w:val="28"/>
                <w:szCs w:val="28"/>
                <w:lang w:eastAsia="zh-CN"/>
              </w:rPr>
              <w:t>专业技术</w:t>
            </w:r>
            <w:r>
              <w:rPr>
                <w:rFonts w:hint="eastAsia" w:ascii="仿宋_GB2312" w:hAnsi="仿宋_GB2312" w:eastAsia="仿宋_GB2312" w:cs="仿宋_GB2312"/>
                <w:sz w:val="28"/>
                <w:szCs w:val="28"/>
              </w:rPr>
              <w:t>职称</w:t>
            </w:r>
            <w:r>
              <w:rPr>
                <w:rFonts w:hint="eastAsia" w:ascii="仿宋_GB2312" w:hAnsi="仿宋_GB2312" w:eastAsia="仿宋_GB2312" w:cs="仿宋_GB2312"/>
                <w:sz w:val="28"/>
                <w:szCs w:val="28"/>
                <w:lang w:val="en-US" w:eastAsia="zh-CN"/>
              </w:rPr>
              <w:t>或高级技师职业资格（职业等级）</w:t>
            </w:r>
          </w:p>
        </w:tc>
      </w:tr>
      <w:tr w14:paraId="2D7511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732" w:type="dxa"/>
            <w:vAlign w:val="center"/>
          </w:tcPr>
          <w:p w14:paraId="36C794C9">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1769" w:type="dxa"/>
            <w:vAlign w:val="center"/>
          </w:tcPr>
          <w:p w14:paraId="7A45316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人工智能</w:t>
            </w:r>
            <w:r>
              <w:rPr>
                <w:rFonts w:hint="eastAsia" w:ascii="仿宋_GB2312" w:hAnsi="仿宋_GB2312" w:eastAsia="仿宋_GB2312" w:cs="仿宋_GB2312"/>
                <w:sz w:val="28"/>
                <w:szCs w:val="28"/>
              </w:rPr>
              <w:t>（现场裁判、评分裁判）</w:t>
            </w:r>
          </w:p>
        </w:tc>
        <w:tc>
          <w:tcPr>
            <w:tcW w:w="4321" w:type="dxa"/>
            <w:vAlign w:val="center"/>
          </w:tcPr>
          <w:p w14:paraId="7249539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8"/>
                <w:szCs w:val="36"/>
                <w:lang w:eastAsia="zh-CN"/>
              </w:rPr>
            </w:pPr>
            <w:r>
              <w:rPr>
                <w:rFonts w:hint="eastAsia" w:ascii="仿宋_GB2312" w:hAnsi="仿宋_GB2312" w:eastAsia="仿宋_GB2312" w:cs="仿宋_GB2312"/>
                <w:sz w:val="28"/>
                <w:szCs w:val="36"/>
                <w:lang w:val="en-US" w:eastAsia="zh-CN"/>
              </w:rPr>
              <w:t>1.</w:t>
            </w:r>
            <w:r>
              <w:rPr>
                <w:rFonts w:hint="eastAsia" w:ascii="仿宋_GB2312" w:hAnsi="仿宋_GB2312" w:eastAsia="仿宋_GB2312" w:cs="仿宋_GB2312"/>
                <w:sz w:val="28"/>
                <w:szCs w:val="36"/>
              </w:rPr>
              <w:t>省级以上执裁经验；</w:t>
            </w:r>
          </w:p>
          <w:p w14:paraId="7095216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36"/>
                <w:lang w:val="en-US" w:eastAsia="zh-CN"/>
              </w:rPr>
              <w:t>2.</w:t>
            </w:r>
            <w:r>
              <w:rPr>
                <w:rFonts w:hint="eastAsia" w:ascii="仿宋_GB2312" w:hAnsi="仿宋_GB2312" w:eastAsia="仿宋_GB2312" w:cs="仿宋_GB2312"/>
                <w:sz w:val="28"/>
                <w:szCs w:val="36"/>
              </w:rPr>
              <w:t>5年以上相关专业教学经验或相关行业工作经验。</w:t>
            </w:r>
          </w:p>
        </w:tc>
        <w:tc>
          <w:tcPr>
            <w:tcW w:w="2428" w:type="dxa"/>
            <w:vAlign w:val="center"/>
          </w:tcPr>
          <w:p w14:paraId="4962501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原则上应具有副高级以上专业技术职称或高级技师职业资格</w:t>
            </w:r>
          </w:p>
        </w:tc>
      </w:tr>
      <w:tr w14:paraId="376566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732" w:type="dxa"/>
            <w:vAlign w:val="center"/>
          </w:tcPr>
          <w:p w14:paraId="13ED406B">
            <w:pPr>
              <w:jc w:val="center"/>
              <w:rPr>
                <w:rFonts w:hint="eastAsia"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3</w:t>
            </w:r>
          </w:p>
        </w:tc>
        <w:tc>
          <w:tcPr>
            <w:tcW w:w="1769" w:type="dxa"/>
            <w:vAlign w:val="center"/>
          </w:tcPr>
          <w:p w14:paraId="44056AFB">
            <w:pPr>
              <w:spacing w:line="400" w:lineRule="exact"/>
              <w:jc w:val="center"/>
              <w:rPr>
                <w:rFonts w:hint="eastAsia"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理工类</w:t>
            </w:r>
          </w:p>
          <w:p w14:paraId="781238CE">
            <w:pPr>
              <w:spacing w:line="400" w:lineRule="exact"/>
              <w:jc w:val="center"/>
              <w:rPr>
                <w:rFonts w:hint="eastAsia"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（加密裁判）</w:t>
            </w:r>
          </w:p>
        </w:tc>
        <w:tc>
          <w:tcPr>
            <w:tcW w:w="4321" w:type="dxa"/>
            <w:vAlign w:val="center"/>
          </w:tcPr>
          <w:p w14:paraId="2CE4090E">
            <w:pPr>
              <w:numPr>
                <w:ilvl w:val="0"/>
                <w:numId w:val="1"/>
              </w:numPr>
              <w:spacing w:line="400" w:lineRule="exact"/>
              <w:jc w:val="left"/>
              <w:rPr>
                <w:rFonts w:hint="eastAsia"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能熟练运用电脑办公软件，认真细致负责完成加密工作。</w:t>
            </w:r>
          </w:p>
          <w:p w14:paraId="25DBF600">
            <w:pPr>
              <w:numPr>
                <w:ilvl w:val="0"/>
                <w:numId w:val="1"/>
              </w:numPr>
              <w:spacing w:line="400" w:lineRule="exact"/>
              <w:jc w:val="left"/>
              <w:rPr>
                <w:rFonts w:hint="eastAsia"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有责任心，与参赛队无利益关系。</w:t>
            </w:r>
          </w:p>
        </w:tc>
        <w:tc>
          <w:tcPr>
            <w:tcW w:w="2428" w:type="dxa"/>
            <w:vAlign w:val="center"/>
          </w:tcPr>
          <w:p w14:paraId="6A6F581F">
            <w:pPr>
              <w:spacing w:line="400" w:lineRule="exact"/>
              <w:jc w:val="center"/>
              <w:rPr>
                <w:rFonts w:hint="eastAsia"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中级以上职称</w:t>
            </w:r>
          </w:p>
        </w:tc>
      </w:tr>
      <w:tr w14:paraId="11DF0D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05" w:hRule="atLeast"/>
          <w:jc w:val="center"/>
        </w:trPr>
        <w:tc>
          <w:tcPr>
            <w:tcW w:w="732" w:type="dxa"/>
            <w:vAlign w:val="center"/>
          </w:tcPr>
          <w:p w14:paraId="0FF6EEDB">
            <w:pPr>
              <w:jc w:val="center"/>
              <w:rPr>
                <w:rFonts w:hint="eastAsia" w:ascii="仿宋_GB2312" w:hAnsi="仿宋_GB2312" w:eastAsia="仿宋_GB2312" w:cs="仿宋_GB2312"/>
                <w:bCs/>
                <w:color w:val="000000"/>
                <w:sz w:val="28"/>
                <w:szCs w:val="28"/>
                <w:lang w:val="en-US" w:eastAsia="zh-CN"/>
              </w:rPr>
            </w:pPr>
            <w:r>
              <w:rPr>
                <w:rFonts w:hint="eastAsia" w:ascii="仿宋_GB2312" w:hAnsi="仿宋_GB2312" w:eastAsia="仿宋_GB2312" w:cs="仿宋_GB2312"/>
                <w:bCs/>
                <w:color w:val="000000"/>
                <w:sz w:val="28"/>
                <w:szCs w:val="28"/>
                <w:lang w:val="en-US" w:eastAsia="zh-CN"/>
              </w:rPr>
              <w:t>4</w:t>
            </w:r>
          </w:p>
        </w:tc>
        <w:tc>
          <w:tcPr>
            <w:tcW w:w="1769" w:type="dxa"/>
            <w:vAlign w:val="center"/>
          </w:tcPr>
          <w:p w14:paraId="354BFC58">
            <w:pPr>
              <w:spacing w:line="400" w:lineRule="exact"/>
              <w:jc w:val="center"/>
              <w:rPr>
                <w:rFonts w:hint="eastAsia" w:ascii="仿宋_GB2312" w:hAnsi="仿宋_GB2312" w:eastAsia="仿宋_GB2312" w:cs="仿宋_GB2312"/>
                <w:bCs/>
                <w:color w:val="000000"/>
                <w:sz w:val="28"/>
                <w:szCs w:val="28"/>
                <w:lang w:val="en-US" w:eastAsia="zh-CN"/>
              </w:rPr>
            </w:pPr>
            <w:r>
              <w:rPr>
                <w:rFonts w:hint="eastAsia" w:ascii="仿宋_GB2312" w:hAnsi="仿宋_GB2312" w:eastAsia="仿宋_GB2312" w:cs="仿宋_GB2312"/>
                <w:bCs/>
                <w:color w:val="000000"/>
                <w:sz w:val="28"/>
                <w:szCs w:val="28"/>
                <w:lang w:val="en-US" w:eastAsia="zh-CN"/>
              </w:rPr>
              <w:t>专家</w:t>
            </w:r>
          </w:p>
        </w:tc>
        <w:tc>
          <w:tcPr>
            <w:tcW w:w="4321" w:type="dxa"/>
            <w:vAlign w:val="center"/>
          </w:tcPr>
          <w:p w14:paraId="580BA64F">
            <w:pPr>
              <w:spacing w:line="400" w:lineRule="exact"/>
              <w:jc w:val="left"/>
              <w:rPr>
                <w:rFonts w:hint="eastAsia" w:ascii="仿宋_GB2312" w:hAnsi="仿宋_GB2312" w:eastAsia="仿宋_GB2312" w:cs="仿宋_GB2312"/>
                <w:bCs/>
                <w:color w:val="000000"/>
                <w:sz w:val="28"/>
                <w:szCs w:val="28"/>
                <w:lang w:val="en-US" w:eastAsia="zh-CN"/>
              </w:rPr>
            </w:pPr>
            <w:r>
              <w:rPr>
                <w:rFonts w:hint="eastAsia" w:ascii="仿宋_GB2312" w:hAnsi="仿宋_GB2312" w:eastAsia="仿宋_GB2312" w:cs="仿宋_GB2312"/>
                <w:bCs/>
                <w:color w:val="000000"/>
                <w:sz w:val="28"/>
                <w:szCs w:val="28"/>
                <w:lang w:val="en-US" w:eastAsia="zh-CN"/>
              </w:rPr>
              <w:t>1.理论功底深厚，实践经验丰富，须熟悉本赛事对应的技术标准、专业教学标准，</w:t>
            </w:r>
          </w:p>
          <w:p w14:paraId="721D07BF">
            <w:pPr>
              <w:spacing w:line="400" w:lineRule="exact"/>
              <w:jc w:val="left"/>
              <w:rPr>
                <w:rFonts w:hint="eastAsia" w:ascii="仿宋_GB2312" w:hAnsi="仿宋_GB2312" w:eastAsia="仿宋_GB2312" w:cs="仿宋_GB2312"/>
                <w:bCs/>
                <w:color w:val="000000"/>
                <w:sz w:val="28"/>
                <w:szCs w:val="28"/>
                <w:lang w:val="en-US" w:eastAsia="zh-CN"/>
              </w:rPr>
            </w:pPr>
            <w:r>
              <w:rPr>
                <w:rFonts w:hint="eastAsia" w:ascii="仿宋_GB2312" w:hAnsi="仿宋_GB2312" w:eastAsia="仿宋_GB2312" w:cs="仿宋_GB2312"/>
                <w:bCs/>
                <w:color w:val="000000"/>
                <w:sz w:val="28"/>
                <w:szCs w:val="28"/>
                <w:lang w:val="en-US" w:eastAsia="zh-CN"/>
              </w:rPr>
              <w:t>2.熟悉相关教育和竞赛工作，在所在领域具有较高专业水平和较强的分析判断能力。</w:t>
            </w:r>
          </w:p>
        </w:tc>
        <w:tc>
          <w:tcPr>
            <w:tcW w:w="2428" w:type="dxa"/>
            <w:vAlign w:val="center"/>
          </w:tcPr>
          <w:p w14:paraId="6D28D34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Cs/>
                <w:color w:val="000000"/>
                <w:sz w:val="28"/>
                <w:szCs w:val="28"/>
                <w:lang w:val="en-US" w:eastAsia="zh-CN"/>
              </w:rPr>
            </w:pPr>
            <w:r>
              <w:rPr>
                <w:rFonts w:hint="eastAsia" w:ascii="仿宋_GB2312" w:hAnsi="仿宋_GB2312" w:eastAsia="仿宋_GB2312" w:cs="仿宋_GB2312"/>
                <w:bCs/>
                <w:color w:val="000000"/>
                <w:sz w:val="28"/>
                <w:szCs w:val="28"/>
                <w:lang w:val="en-US" w:eastAsia="zh-CN"/>
              </w:rPr>
              <w:t>中级及以上相关技术职称或本职业高级工及以上技能等级资格</w:t>
            </w:r>
          </w:p>
        </w:tc>
      </w:tr>
    </w:tbl>
    <w:p w14:paraId="4603276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（三）保障团队</w:t>
      </w:r>
    </w:p>
    <w:p w14:paraId="0980D163">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成立由赛项执委会主任为组长的赛项安全保障小组，职责分工明确。</w:t>
      </w:r>
    </w:p>
    <w:p w14:paraId="1E214834">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与地方相关部门建立协调机制，制定应急预案，及时处置突发事件，保证比赛安全进行。</w:t>
      </w:r>
    </w:p>
    <w:p w14:paraId="09D7736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eastAsia="仿宋_GB2312"/>
          <w:lang w:val="en-US" w:eastAsia="zh-CN"/>
        </w:rPr>
      </w:pPr>
      <w:r>
        <w:rPr>
          <w:rFonts w:hint="eastAsia" w:ascii="仿宋_GB2312" w:hAnsi="宋体" w:eastAsia="仿宋_GB2312" w:cs="宋体"/>
          <w:sz w:val="28"/>
          <w:szCs w:val="28"/>
          <w:lang w:val="en-US" w:eastAsia="zh-CN"/>
        </w:rPr>
        <w:t>3.</w:t>
      </w:r>
      <w:r>
        <w:rPr>
          <w:rFonts w:hint="eastAsia" w:ascii="仿宋_GB2312" w:hAnsi="宋体" w:eastAsia="仿宋_GB2312" w:cs="宋体"/>
          <w:sz w:val="28"/>
          <w:szCs w:val="28"/>
        </w:rPr>
        <w:t>建立完善的大赛保障组织管理机制，做到各比赛单元均有专人负责指挥和协调，确保大赛有序进行</w:t>
      </w:r>
      <w:r>
        <w:rPr>
          <w:rFonts w:hint="eastAsia" w:ascii="仿宋_GB2312" w:hAnsi="宋体" w:eastAsia="仿宋_GB2312" w:cs="宋体"/>
          <w:sz w:val="28"/>
          <w:szCs w:val="28"/>
          <w:lang w:eastAsia="zh-CN"/>
        </w:rPr>
        <w:t>。</w:t>
      </w:r>
    </w:p>
    <w:p w14:paraId="5C78EB04">
      <w:pPr>
        <w:pStyle w:val="7"/>
        <w:keepNext w:val="0"/>
        <w:keepLines w:val="0"/>
        <w:pageBreakBefore w:val="0"/>
        <w:kinsoku/>
        <w:wordWrap/>
        <w:overflowPunct/>
        <w:topLinePunct w:val="0"/>
        <w:autoSpaceDE/>
        <w:autoSpaceDN/>
        <w:bidi w:val="0"/>
        <w:adjustRightInd/>
        <w:snapToGrid/>
        <w:spacing w:after="0" w:line="560" w:lineRule="exact"/>
        <w:ind w:left="0" w:leftChars="0" w:firstLine="560" w:firstLineChars="200"/>
        <w:rPr>
          <w:rFonts w:hint="default" w:eastAsia="仿宋_GB2312"/>
          <w:lang w:val="en-US" w:eastAsia="zh-CN"/>
        </w:rPr>
      </w:pPr>
      <w:r>
        <w:rPr>
          <w:rFonts w:hint="eastAsia" w:ascii="仿宋_GB2312" w:hAnsi="仿宋_GB2312" w:eastAsia="仿宋_GB2312" w:cs="仿宋_GB2312"/>
          <w:color w:val="000000"/>
          <w:kern w:val="0"/>
          <w:sz w:val="28"/>
          <w:szCs w:val="28"/>
          <w:u w:color="000000"/>
          <w:lang w:val="en-US" w:eastAsia="zh-CN" w:bidi="ar-SA"/>
        </w:rPr>
        <w:t>4.设置生活保障组，为大赛选手与裁判提供相应的生活服务和后勤保障。</w:t>
      </w:r>
    </w:p>
    <w:p w14:paraId="352AF13A">
      <w:pPr>
        <w:pStyle w:val="3"/>
        <w:keepNext/>
        <w:keepLines/>
        <w:pageBreakBefore w:val="0"/>
        <w:widowControl w:val="0"/>
        <w:kinsoku/>
        <w:wordWrap/>
        <w:overflowPunct/>
        <w:topLinePunct w:val="0"/>
        <w:autoSpaceDE/>
        <w:autoSpaceDN/>
        <w:bidi w:val="0"/>
        <w:adjustRightInd/>
        <w:snapToGrid/>
        <w:spacing w:before="157" w:beforeLines="50" w:after="157" w:afterLines="50" w:line="560" w:lineRule="exact"/>
        <w:ind w:firstLine="643"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四、竞赛内容</w:t>
      </w:r>
    </w:p>
    <w:p w14:paraId="017611A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宋体" w:eastAsia="仿宋_GB2312" w:cs="宋体"/>
          <w:sz w:val="28"/>
          <w:szCs w:val="28"/>
          <w:lang w:val="en-US" w:eastAsia="zh-CN"/>
        </w:rPr>
      </w:pPr>
      <w:r>
        <w:rPr>
          <w:rFonts w:hint="eastAsia" w:ascii="仿宋_GB2312" w:hAnsi="宋体" w:eastAsia="仿宋_GB2312" w:cs="宋体"/>
          <w:sz w:val="28"/>
          <w:szCs w:val="28"/>
          <w:lang w:val="en-US" w:eastAsia="zh-CN"/>
        </w:rPr>
        <w:t>竞赛依据人工智能训练师国家职业技能标准进行命题，并考虑现有岗位技能要求情况，适当增加新技术、新工艺、新规范和企业经营管理实际等内容。</w:t>
      </w:r>
    </w:p>
    <w:p w14:paraId="4FFF7F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仿宋_GB2312" w:cstheme="minorBidi"/>
          <w:b/>
          <w:bCs/>
          <w:color w:val="000000"/>
          <w:kern w:val="0"/>
          <w:sz w:val="28"/>
          <w:szCs w:val="28"/>
          <w:u w:color="000000"/>
          <w:lang w:val="en-US" w:eastAsia="zh-CN" w:bidi="ar-SA"/>
        </w:rPr>
      </w:pPr>
      <w:r>
        <w:rPr>
          <w:rFonts w:hint="eastAsia" w:ascii="Times New Roman" w:hAnsi="Times New Roman" w:eastAsia="仿宋_GB2312" w:cstheme="minorBidi"/>
          <w:b/>
          <w:bCs/>
          <w:color w:val="000000"/>
          <w:kern w:val="0"/>
          <w:sz w:val="28"/>
          <w:szCs w:val="28"/>
          <w:u w:color="000000"/>
          <w:lang w:val="en-US" w:eastAsia="zh-CN" w:bidi="ar-SA"/>
        </w:rPr>
        <w:t>（一）理论考核</w:t>
      </w:r>
    </w:p>
    <w:p w14:paraId="3442A44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仿宋_GB2312" w:cstheme="minorBidi"/>
          <w:b w:val="0"/>
          <w:bCs w:val="0"/>
          <w:color w:val="000000"/>
          <w:kern w:val="0"/>
          <w:sz w:val="28"/>
          <w:szCs w:val="28"/>
          <w:u w:color="000000"/>
          <w:lang w:val="en-US" w:eastAsia="zh-CN" w:bidi="ar-SA"/>
        </w:rPr>
      </w:pPr>
      <w:r>
        <w:rPr>
          <w:rFonts w:hint="eastAsia" w:ascii="Times New Roman" w:hAnsi="Times New Roman" w:eastAsia="仿宋_GB2312" w:cstheme="minorBidi"/>
          <w:b w:val="0"/>
          <w:bCs w:val="0"/>
          <w:color w:val="000000"/>
          <w:kern w:val="0"/>
          <w:sz w:val="28"/>
          <w:szCs w:val="28"/>
          <w:u w:color="000000"/>
          <w:lang w:val="en-US" w:eastAsia="zh-CN" w:bidi="ar-SA"/>
        </w:rPr>
        <w:t>人工智能训练师</w:t>
      </w:r>
      <w:r>
        <w:rPr>
          <w:rFonts w:hint="default" w:ascii="Times New Roman" w:hAnsi="Times New Roman" w:eastAsia="仿宋_GB2312" w:cstheme="minorBidi"/>
          <w:b w:val="0"/>
          <w:bCs w:val="0"/>
          <w:color w:val="000000"/>
          <w:kern w:val="0"/>
          <w:sz w:val="28"/>
          <w:szCs w:val="28"/>
          <w:u w:color="000000"/>
          <w:lang w:val="en-US" w:eastAsia="zh-CN" w:bidi="ar-SA"/>
        </w:rPr>
        <w:t>理论知识赛前练习试题库含标准化试题</w:t>
      </w:r>
      <w:r>
        <w:rPr>
          <w:rFonts w:hint="eastAsia" w:ascii="Times New Roman" w:hAnsi="Times New Roman" w:eastAsia="仿宋_GB2312" w:cstheme="minorBidi"/>
          <w:b w:val="0"/>
          <w:bCs w:val="0"/>
          <w:color w:val="000000"/>
          <w:kern w:val="0"/>
          <w:sz w:val="28"/>
          <w:szCs w:val="28"/>
          <w:u w:color="000000"/>
          <w:lang w:val="en-US" w:eastAsia="zh-CN" w:bidi="ar-SA"/>
        </w:rPr>
        <w:t>1800道，</w:t>
      </w:r>
      <w:r>
        <w:rPr>
          <w:rFonts w:hint="default" w:ascii="Times New Roman" w:hAnsi="Times New Roman" w:eastAsia="仿宋_GB2312" w:cstheme="minorBidi"/>
          <w:b w:val="0"/>
          <w:bCs w:val="0"/>
          <w:color w:val="000000"/>
          <w:kern w:val="0"/>
          <w:sz w:val="28"/>
          <w:szCs w:val="28"/>
          <w:u w:color="000000"/>
          <w:lang w:val="en-US" w:eastAsia="zh-CN" w:bidi="ar-SA"/>
        </w:rPr>
        <w:t>题型包括单选、多选、判断。</w:t>
      </w:r>
      <w:r>
        <w:rPr>
          <w:rFonts w:hint="eastAsia" w:ascii="Times New Roman" w:hAnsi="Times New Roman" w:eastAsia="仿宋_GB2312" w:cstheme="minorBidi"/>
          <w:b w:val="0"/>
          <w:bCs w:val="0"/>
          <w:color w:val="000000"/>
          <w:kern w:val="0"/>
          <w:sz w:val="28"/>
          <w:szCs w:val="28"/>
          <w:u w:color="000000"/>
          <w:lang w:val="en-US" w:eastAsia="zh-CN" w:bidi="ar-SA"/>
        </w:rPr>
        <w:t>赛前练习阶段，参赛选手可登录竞赛技术平台网站（网址：https://aicompetition.wztcoder.com）进行练习，</w:t>
      </w:r>
      <w:r>
        <w:rPr>
          <w:rFonts w:hint="default" w:ascii="Times New Roman" w:hAnsi="Times New Roman" w:eastAsia="仿宋_GB2312" w:cstheme="minorBidi"/>
          <w:b w:val="0"/>
          <w:bCs w:val="0"/>
          <w:color w:val="000000"/>
          <w:kern w:val="0"/>
          <w:sz w:val="28"/>
          <w:szCs w:val="28"/>
          <w:u w:color="000000"/>
          <w:lang w:val="en-US" w:eastAsia="zh-CN" w:bidi="ar-SA"/>
        </w:rPr>
        <w:t>正式竞赛时，将从试题库随机抽取部分试题，并增加部分新题后进行组合，自动生成标准化试卷</w:t>
      </w:r>
      <w:r>
        <w:rPr>
          <w:rFonts w:hint="eastAsia" w:ascii="Times New Roman" w:hAnsi="Times New Roman" w:eastAsia="仿宋_GB2312" w:cstheme="minorBidi"/>
          <w:b w:val="0"/>
          <w:bCs w:val="0"/>
          <w:color w:val="000000"/>
          <w:kern w:val="0"/>
          <w:sz w:val="28"/>
          <w:szCs w:val="28"/>
          <w:u w:color="000000"/>
          <w:lang w:val="en-US" w:eastAsia="zh-CN" w:bidi="ar-SA"/>
        </w:rPr>
        <w:t>。共计100道，满分100分。职工组、学生组采用同一题库，最终竞赛题目不同。</w:t>
      </w:r>
    </w:p>
    <w:p w14:paraId="491464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b/>
          <w:bCs/>
          <w:color w:val="000000"/>
          <w:kern w:val="0"/>
          <w:sz w:val="28"/>
          <w:szCs w:val="28"/>
          <w:u w:color="000000"/>
          <w:lang w:val="en-US" w:eastAsia="zh-CN" w:bidi="ar-SA"/>
        </w:rPr>
      </w:pPr>
      <w:r>
        <w:rPr>
          <w:rFonts w:hint="eastAsia" w:ascii="仿宋_GB2312" w:hAnsi="仿宋_GB2312" w:eastAsia="仿宋_GB2312" w:cs="仿宋_GB2312"/>
          <w:b/>
          <w:bCs/>
          <w:color w:val="000000"/>
          <w:kern w:val="0"/>
          <w:sz w:val="28"/>
          <w:szCs w:val="28"/>
          <w:u w:color="000000"/>
          <w:lang w:val="en-US" w:eastAsia="zh-CN" w:bidi="ar-SA"/>
        </w:rPr>
        <w:t xml:space="preserve">1.竞赛时间 </w:t>
      </w:r>
    </w:p>
    <w:p w14:paraId="4D925D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heme="minorBidi"/>
          <w:b w:val="0"/>
          <w:bCs w:val="0"/>
          <w:color w:val="000000"/>
          <w:kern w:val="0"/>
          <w:sz w:val="28"/>
          <w:szCs w:val="28"/>
          <w:u w:color="000000"/>
          <w:lang w:val="en-US" w:eastAsia="zh-CN" w:bidi="ar-SA"/>
        </w:rPr>
      </w:pPr>
      <w:r>
        <w:rPr>
          <w:rFonts w:hint="eastAsia" w:ascii="Times New Roman" w:hAnsi="Times New Roman" w:eastAsia="仿宋_GB2312" w:cstheme="minorBidi"/>
          <w:b w:val="0"/>
          <w:bCs w:val="0"/>
          <w:color w:val="000000"/>
          <w:kern w:val="0"/>
          <w:sz w:val="28"/>
          <w:szCs w:val="28"/>
          <w:u w:color="000000"/>
          <w:lang w:val="en-US" w:eastAsia="zh-CN" w:bidi="ar-SA"/>
        </w:rPr>
        <w:t xml:space="preserve">60分钟。职工组、学生组的竞赛时间相同。 </w:t>
      </w:r>
    </w:p>
    <w:p w14:paraId="5B8836F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仿宋_GB2312" w:hAnsi="仿宋_GB2312" w:eastAsia="仿宋_GB2312" w:cs="仿宋_GB2312"/>
          <w:b/>
          <w:bCs/>
          <w:color w:val="000000"/>
          <w:kern w:val="0"/>
          <w:sz w:val="28"/>
          <w:szCs w:val="28"/>
          <w:u w:color="000000"/>
          <w:lang w:val="en-US" w:eastAsia="zh-CN" w:bidi="ar-SA"/>
        </w:rPr>
      </w:pPr>
      <w:r>
        <w:rPr>
          <w:rFonts w:hint="eastAsia" w:ascii="仿宋_GB2312" w:hAnsi="仿宋_GB2312" w:eastAsia="仿宋_GB2312" w:cs="仿宋_GB2312"/>
          <w:b/>
          <w:bCs/>
          <w:color w:val="000000"/>
          <w:kern w:val="0"/>
          <w:sz w:val="28"/>
          <w:szCs w:val="28"/>
          <w:u w:color="000000"/>
          <w:lang w:val="en-US" w:eastAsia="zh-CN" w:bidi="ar-SA"/>
        </w:rPr>
        <w:t>2.理论知识相关知识</w:t>
      </w:r>
    </w:p>
    <w:p w14:paraId="34891A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仿宋_GB2312" w:cstheme="minorBidi"/>
          <w:b w:val="0"/>
          <w:bCs w:val="0"/>
          <w:color w:val="000000"/>
          <w:kern w:val="0"/>
          <w:sz w:val="28"/>
          <w:szCs w:val="28"/>
          <w:u w:color="000000"/>
          <w:lang w:val="en-US" w:eastAsia="zh-CN" w:bidi="ar-SA"/>
        </w:rPr>
      </w:pPr>
      <w:r>
        <w:rPr>
          <w:rFonts w:hint="eastAsia" w:ascii="Times New Roman" w:hAnsi="Times New Roman" w:eastAsia="仿宋_GB2312" w:cstheme="minorBidi"/>
          <w:b w:val="0"/>
          <w:bCs w:val="0"/>
          <w:color w:val="000000"/>
          <w:kern w:val="0"/>
          <w:sz w:val="28"/>
          <w:szCs w:val="28"/>
          <w:u w:color="000000"/>
          <w:lang w:val="en-US" w:eastAsia="zh-CN" w:bidi="ar-SA"/>
        </w:rPr>
        <w:t>（1）岗位基本要求：职业道德，基础知识；</w:t>
      </w:r>
    </w:p>
    <w:p w14:paraId="7B9A57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仿宋_GB2312" w:cstheme="minorBidi"/>
          <w:b w:val="0"/>
          <w:bCs w:val="0"/>
          <w:color w:val="000000"/>
          <w:kern w:val="0"/>
          <w:sz w:val="28"/>
          <w:szCs w:val="28"/>
          <w:u w:color="000000"/>
          <w:lang w:val="en-US" w:eastAsia="zh-CN" w:bidi="ar-SA"/>
        </w:rPr>
      </w:pPr>
      <w:r>
        <w:rPr>
          <w:rFonts w:hint="eastAsia" w:ascii="Times New Roman" w:hAnsi="Times New Roman" w:eastAsia="仿宋_GB2312" w:cstheme="minorBidi"/>
          <w:b w:val="0"/>
          <w:bCs w:val="0"/>
          <w:color w:val="000000"/>
          <w:kern w:val="0"/>
          <w:sz w:val="28"/>
          <w:szCs w:val="28"/>
          <w:u w:color="000000"/>
          <w:lang w:val="en-US" w:eastAsia="zh-CN" w:bidi="ar-SA"/>
        </w:rPr>
        <w:t>（2）人工智能训练师相关法律法规；</w:t>
      </w:r>
    </w:p>
    <w:p w14:paraId="6A7F3F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仿宋_GB2312" w:cstheme="minorBidi"/>
          <w:b w:val="0"/>
          <w:bCs w:val="0"/>
          <w:color w:val="000000"/>
          <w:kern w:val="0"/>
          <w:sz w:val="28"/>
          <w:szCs w:val="28"/>
          <w:u w:color="000000"/>
          <w:lang w:val="en-US" w:eastAsia="zh-CN" w:bidi="ar-SA"/>
        </w:rPr>
      </w:pPr>
      <w:r>
        <w:rPr>
          <w:rFonts w:hint="eastAsia" w:ascii="Times New Roman" w:hAnsi="Times New Roman" w:eastAsia="仿宋_GB2312" w:cstheme="minorBidi"/>
          <w:b w:val="0"/>
          <w:bCs w:val="0"/>
          <w:color w:val="000000"/>
          <w:kern w:val="0"/>
          <w:sz w:val="28"/>
          <w:szCs w:val="28"/>
          <w:u w:color="000000"/>
          <w:lang w:val="en-US" w:eastAsia="zh-CN" w:bidi="ar-SA"/>
        </w:rPr>
        <w:t>（3）人工智能数据采集、标注与模型训练；</w:t>
      </w:r>
    </w:p>
    <w:p w14:paraId="4C94CC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heme="minorBidi"/>
          <w:b w:val="0"/>
          <w:bCs w:val="0"/>
          <w:color w:val="000000"/>
          <w:kern w:val="0"/>
          <w:sz w:val="28"/>
          <w:szCs w:val="28"/>
          <w:u w:color="000000"/>
          <w:lang w:val="en-US" w:eastAsia="zh-CN" w:bidi="ar-SA"/>
        </w:rPr>
      </w:pPr>
      <w:r>
        <w:rPr>
          <w:rFonts w:hint="eastAsia" w:ascii="Times New Roman" w:hAnsi="Times New Roman" w:eastAsia="仿宋_GB2312" w:cstheme="minorBidi"/>
          <w:b w:val="0"/>
          <w:bCs w:val="0"/>
          <w:color w:val="000000"/>
          <w:kern w:val="0"/>
          <w:sz w:val="28"/>
          <w:szCs w:val="28"/>
          <w:u w:color="000000"/>
          <w:lang w:val="en-US" w:eastAsia="zh-CN" w:bidi="ar-SA"/>
        </w:rPr>
        <w:t>（4）人工智能技术的行业应用与发展趋势。</w:t>
      </w:r>
    </w:p>
    <w:p w14:paraId="47DDE6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仿宋_GB2312" w:hAnsi="仿宋_GB2312" w:eastAsia="仿宋_GB2312" w:cs="仿宋_GB2312"/>
          <w:b/>
          <w:bCs/>
          <w:color w:val="000000"/>
          <w:kern w:val="0"/>
          <w:sz w:val="28"/>
          <w:szCs w:val="28"/>
          <w:u w:color="000000"/>
          <w:lang w:val="en-US" w:eastAsia="zh-CN" w:bidi="ar-SA"/>
        </w:rPr>
      </w:pPr>
      <w:r>
        <w:rPr>
          <w:rFonts w:hint="eastAsia" w:ascii="仿宋_GB2312" w:hAnsi="仿宋_GB2312" w:eastAsia="仿宋_GB2312" w:cs="仿宋_GB2312"/>
          <w:b/>
          <w:bCs/>
          <w:color w:val="000000"/>
          <w:kern w:val="0"/>
          <w:sz w:val="28"/>
          <w:szCs w:val="28"/>
          <w:u w:color="000000"/>
          <w:lang w:val="en-US" w:eastAsia="zh-CN" w:bidi="ar-SA"/>
        </w:rPr>
        <w:t xml:space="preserve">3.试卷题型、数量及分数 </w:t>
      </w:r>
    </w:p>
    <w:p w14:paraId="7C5489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heme="minorBidi"/>
          <w:b w:val="0"/>
          <w:bCs w:val="0"/>
          <w:color w:val="000000"/>
          <w:kern w:val="0"/>
          <w:sz w:val="28"/>
          <w:szCs w:val="28"/>
          <w:u w:color="000000"/>
          <w:lang w:val="en-US" w:eastAsia="zh-CN" w:bidi="ar-SA"/>
        </w:rPr>
      </w:pPr>
      <w:r>
        <w:rPr>
          <w:rFonts w:hint="eastAsia" w:ascii="Times New Roman" w:hAnsi="Times New Roman" w:eastAsia="仿宋_GB2312" w:cstheme="minorBidi"/>
          <w:b w:val="0"/>
          <w:bCs w:val="0"/>
          <w:color w:val="000000"/>
          <w:kern w:val="0"/>
          <w:sz w:val="28"/>
          <w:szCs w:val="28"/>
          <w:u w:color="000000"/>
          <w:lang w:val="en-US" w:eastAsia="zh-CN" w:bidi="ar-SA"/>
        </w:rPr>
        <w:t>（1）单项选择题：60题，每题1分,计60分；</w:t>
      </w:r>
    </w:p>
    <w:p w14:paraId="48F3DA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heme="minorBidi"/>
          <w:b w:val="0"/>
          <w:bCs w:val="0"/>
          <w:color w:val="000000"/>
          <w:kern w:val="0"/>
          <w:sz w:val="28"/>
          <w:szCs w:val="28"/>
          <w:u w:color="000000"/>
          <w:lang w:val="en-US" w:eastAsia="zh-CN" w:bidi="ar-SA"/>
        </w:rPr>
      </w:pPr>
      <w:r>
        <w:rPr>
          <w:rFonts w:hint="eastAsia" w:ascii="Times New Roman" w:hAnsi="Times New Roman" w:eastAsia="仿宋_GB2312" w:cstheme="minorBidi"/>
          <w:b w:val="0"/>
          <w:bCs w:val="0"/>
          <w:color w:val="000000"/>
          <w:kern w:val="0"/>
          <w:sz w:val="28"/>
          <w:szCs w:val="28"/>
          <w:u w:color="000000"/>
          <w:lang w:val="en-US" w:eastAsia="zh-CN" w:bidi="ar-SA"/>
        </w:rPr>
        <w:t xml:space="preserve">（2）多项选择题：25题，每题1分,计25分； </w:t>
      </w:r>
    </w:p>
    <w:p w14:paraId="281966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仿宋_GB2312" w:cstheme="minorBidi"/>
          <w:b w:val="0"/>
          <w:bCs w:val="0"/>
          <w:color w:val="000000"/>
          <w:kern w:val="0"/>
          <w:sz w:val="28"/>
          <w:szCs w:val="28"/>
          <w:u w:color="000000"/>
          <w:lang w:val="en-US" w:eastAsia="zh-CN" w:bidi="ar-SA"/>
        </w:rPr>
      </w:pPr>
      <w:r>
        <w:rPr>
          <w:rFonts w:hint="eastAsia" w:ascii="Times New Roman" w:hAnsi="Times New Roman" w:eastAsia="仿宋_GB2312" w:cstheme="minorBidi"/>
          <w:b w:val="0"/>
          <w:bCs w:val="0"/>
          <w:color w:val="000000"/>
          <w:kern w:val="0"/>
          <w:sz w:val="28"/>
          <w:szCs w:val="28"/>
          <w:u w:color="000000"/>
          <w:lang w:val="en-US" w:eastAsia="zh-CN" w:bidi="ar-SA"/>
        </w:rPr>
        <w:t>（3）判断题：15题，每题1分，计15分。</w:t>
      </w:r>
    </w:p>
    <w:p w14:paraId="701E35F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_GB2312" w:cstheme="minorBidi"/>
          <w:b/>
          <w:bCs/>
          <w:color w:val="000000"/>
          <w:kern w:val="0"/>
          <w:sz w:val="28"/>
          <w:szCs w:val="28"/>
          <w:u w:color="000000"/>
          <w:lang w:val="en-US" w:eastAsia="zh-CN" w:bidi="ar-SA"/>
        </w:rPr>
      </w:pPr>
      <w:r>
        <w:rPr>
          <w:rFonts w:hint="eastAsia" w:ascii="Times New Roman" w:hAnsi="Times New Roman" w:eastAsia="仿宋_GB2312" w:cstheme="minorBidi"/>
          <w:b/>
          <w:bCs/>
          <w:color w:val="000000"/>
          <w:kern w:val="0"/>
          <w:sz w:val="28"/>
          <w:szCs w:val="28"/>
          <w:u w:color="000000"/>
          <w:lang w:val="en-US" w:eastAsia="zh-CN" w:bidi="ar-SA"/>
        </w:rPr>
        <w:t>（二）技能实操考核</w:t>
      </w:r>
    </w:p>
    <w:p w14:paraId="7401BD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rPr>
          <w:rFonts w:hint="eastAsia" w:ascii="仿宋" w:hAnsi="仿宋" w:eastAsia="仿宋" w:cs="仿宋"/>
          <w:color w:val="000000"/>
          <w:kern w:val="0"/>
          <w:sz w:val="28"/>
          <w:szCs w:val="28"/>
          <w:u w:color="000000"/>
          <w:lang w:val="en-US" w:eastAsia="zh-CN" w:bidi="ar-SA"/>
        </w:rPr>
      </w:pPr>
      <w:r>
        <w:rPr>
          <w:rFonts w:hint="eastAsia" w:ascii="仿宋" w:hAnsi="仿宋" w:eastAsia="仿宋" w:cs="仿宋"/>
          <w:color w:val="000000"/>
          <w:kern w:val="0"/>
          <w:sz w:val="28"/>
          <w:szCs w:val="28"/>
          <w:u w:color="000000"/>
          <w:lang w:val="en-US" w:eastAsia="zh-CN" w:bidi="ar-SA"/>
        </w:rPr>
        <w:t>本次实操考核，采用机器人视觉检测生产线和人工智能综合实验箱，竞赛时间为120分钟。</w:t>
      </w:r>
    </w:p>
    <w:p w14:paraId="158494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_GB2312" w:cstheme="minorBidi"/>
          <w:color w:val="000000"/>
          <w:kern w:val="0"/>
          <w:sz w:val="28"/>
          <w:szCs w:val="28"/>
          <w:u w:color="000000"/>
          <w:lang w:val="en-US" w:eastAsia="zh-CN" w:bidi="ar-SA"/>
        </w:rPr>
      </w:pPr>
      <w:r>
        <w:rPr>
          <w:rFonts w:hint="eastAsia" w:ascii="Times New Roman" w:hAnsi="Times New Roman" w:eastAsia="仿宋_GB2312" w:cstheme="minorBidi"/>
          <w:color w:val="000000"/>
          <w:kern w:val="0"/>
          <w:sz w:val="28"/>
          <w:szCs w:val="28"/>
          <w:u w:color="000000"/>
          <w:lang w:val="en-US" w:eastAsia="zh-CN" w:bidi="ar-SA"/>
        </w:rPr>
        <w:t>本次竞赛旨在激发参赛选手对人工智能和视觉技术的兴趣和热情，鼓励他们积极探索和发掘这些新兴技术在工程实践中的潜力。通过参与比赛，选手将有机会深入了解机器人、视觉、传感器等模块的原理，以及掌握深度学习、数字图像处理等人工智能软件算法，并综合运用以上技术，学习如何将人工智能和视觉技术融入到实际的工程项目中，解决实际的工程问题。</w:t>
      </w:r>
    </w:p>
    <w:p w14:paraId="2522CF6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rPr>
          <w:rFonts w:hint="eastAsia" w:ascii="Times New Roman" w:hAnsi="Times New Roman" w:eastAsia="仿宋_GB2312" w:cstheme="minorBidi"/>
          <w:b/>
          <w:bCs/>
          <w:color w:val="000000"/>
          <w:kern w:val="0"/>
          <w:sz w:val="28"/>
          <w:szCs w:val="28"/>
          <w:u w:color="000000"/>
          <w:lang w:val="en-US" w:eastAsia="zh-CN" w:bidi="ar-SA"/>
        </w:rPr>
      </w:pPr>
      <w:r>
        <w:rPr>
          <w:rFonts w:hint="eastAsia" w:ascii="Times New Roman" w:hAnsi="Times New Roman" w:eastAsia="仿宋_GB2312" w:cstheme="minorBidi"/>
          <w:b/>
          <w:bCs/>
          <w:color w:val="000000"/>
          <w:kern w:val="0"/>
          <w:sz w:val="28"/>
          <w:szCs w:val="28"/>
          <w:u w:color="000000"/>
          <w:lang w:val="en-US" w:eastAsia="zh-CN" w:bidi="ar-SA"/>
        </w:rPr>
        <w:t>竞赛内容：</w:t>
      </w:r>
    </w:p>
    <w:p w14:paraId="70B1A246">
      <w:pPr>
        <w:keepNext w:val="0"/>
        <w:keepLines w:val="0"/>
        <w:pageBreakBefore w:val="0"/>
        <w:widowControl/>
        <w:suppressLineNumbers w:val="0"/>
        <w:kinsoku/>
        <w:wordWrap/>
        <w:overflowPunct/>
        <w:topLinePunct w:val="0"/>
        <w:autoSpaceDE/>
        <w:autoSpaceDN/>
        <w:bidi w:val="0"/>
        <w:adjustRightInd/>
        <w:snapToGrid/>
        <w:spacing w:line="560" w:lineRule="exact"/>
        <w:ind w:firstLine="562" w:firstLineChars="200"/>
        <w:jc w:val="both"/>
        <w:textAlignment w:val="center"/>
        <w:rPr>
          <w:rFonts w:hint="eastAsia" w:ascii="Times New Roman" w:hAnsi="Times New Roman" w:eastAsia="仿宋_GB2312" w:cstheme="minorBidi"/>
          <w:color w:val="000000"/>
          <w:kern w:val="0"/>
          <w:sz w:val="28"/>
          <w:szCs w:val="28"/>
          <w:u w:color="000000"/>
          <w:lang w:val="en-US" w:eastAsia="zh-CN" w:bidi="ar-SA"/>
        </w:rPr>
      </w:pPr>
      <w:r>
        <w:rPr>
          <w:rFonts w:hint="eastAsia" w:ascii="Times New Roman" w:hAnsi="Times New Roman" w:eastAsia="仿宋_GB2312" w:cstheme="minorBidi"/>
          <w:b/>
          <w:bCs/>
          <w:color w:val="000000"/>
          <w:kern w:val="0"/>
          <w:sz w:val="28"/>
          <w:szCs w:val="28"/>
          <w:u w:color="000000"/>
          <w:lang w:val="en-US" w:eastAsia="zh-CN" w:bidi="ar-SA"/>
        </w:rPr>
        <w:t>学生组</w:t>
      </w:r>
      <w:r>
        <w:rPr>
          <w:rFonts w:hint="eastAsia" w:ascii="Times New Roman" w:hAnsi="Times New Roman" w:eastAsia="仿宋_GB2312" w:cstheme="minorBidi"/>
          <w:color w:val="000000"/>
          <w:kern w:val="0"/>
          <w:sz w:val="28"/>
          <w:szCs w:val="28"/>
          <w:u w:color="000000"/>
          <w:lang w:val="en-US" w:eastAsia="zh-CN" w:bidi="ar-SA"/>
        </w:rPr>
        <w:t>：本次涵盖了图像数据采集、图像标注与训练、视觉检测与模型调用、机器人编程与目标抓取、系统运维与优化等技术领域。通过参与比赛，不仅可以提升选手的团队合作意识，还能考察他们解决问题的能力和应变能力。在图像数据采集方面，可以考察选手对相机、镜头、光源等图像采集设备的操作和调整能力，包括如何准确地获取和处理图像数据，并通过调节光源亮度、位置等因素来获得清晰的图像。在图像标注与训练方面，考察选手对图像标注技术和深度学习模型训练的理解与操作能力，包括如何选择合适的标注工具、设计标注方案、进行高质量的图像标注，以及如何利用标注数据进行深度学习模型的训练与优化等方面的技能。在视觉检测与模型调用环节，可以考察选手对视觉检测技术和深度学习模型的应用能力，包括如何选择合适的模型、调用模型进行数据分析和目标检测等方面的技能。在机器人编程与目标抓取方面，重点考察选手对机器人运动控制和路径规划的能力，包括如何设计和编写机器人程序、如何完成机器人与视觉系统的标定、如何实现机器人与视觉系统的协同等。在系统运维与优化环节方面，则是一个综合性的考察，选手需要基于自身对系统原理和调试方法的熟练掌握，检测系统故障、优化系统性能，从而确保高效运行。</w:t>
      </w:r>
    </w:p>
    <w:p w14:paraId="2E4690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仿宋_GB2312" w:cstheme="minorBidi"/>
          <w:color w:val="000000"/>
          <w:kern w:val="0"/>
          <w:sz w:val="28"/>
          <w:szCs w:val="28"/>
          <w:u w:color="000000"/>
          <w:lang w:val="en-US" w:eastAsia="zh-CN" w:bidi="ar-SA"/>
        </w:rPr>
      </w:pPr>
      <w:r>
        <w:rPr>
          <w:rFonts w:hint="eastAsia" w:ascii="Times New Roman" w:hAnsi="Times New Roman" w:eastAsia="仿宋_GB2312" w:cstheme="minorBidi"/>
          <w:b/>
          <w:bCs/>
          <w:color w:val="000000"/>
          <w:kern w:val="0"/>
          <w:sz w:val="28"/>
          <w:szCs w:val="28"/>
          <w:u w:color="000000"/>
          <w:lang w:val="en-US" w:eastAsia="zh-CN" w:bidi="ar-SA"/>
        </w:rPr>
        <w:t>职工组：</w:t>
      </w:r>
      <w:r>
        <w:rPr>
          <w:rFonts w:hint="eastAsia" w:ascii="Times New Roman" w:hAnsi="Times New Roman" w:eastAsia="仿宋_GB2312" w:cstheme="minorBidi"/>
          <w:color w:val="000000"/>
          <w:kern w:val="0"/>
          <w:sz w:val="28"/>
          <w:szCs w:val="28"/>
          <w:u w:color="000000"/>
          <w:lang w:val="en-US" w:eastAsia="zh-CN" w:bidi="ar-SA"/>
        </w:rPr>
        <w:t>本次涵盖了图像数据采集、传感器控制、视觉检测与模型调用、机器人编程与目标抓取、系统运维与优化等技术领域。通过参与比赛，不仅可以提升选手的团队合作意识，还能考察他们解决问题的能力和应变能力。在图像数据采集方面，可以考察选手对相机等图像采集设备的操作和调整能力，包括如何准确地获取和处理图像数据等相关技能。在传感器控制环节，可以考察选手使用语音传感器的能力，包括编辑语音指令，通过语音控制指令执行，完成目标抓取的能力。在视觉检测与模型调用环节，可以考察选手对视觉检测技术和深度学习模型的应用能力，包括如何选择合适的模型、调用模型进行数据分析和目标检测等方面的技能。在机器人编程与目标抓取方面，重点考察选手对机器人运动控制和路径规划的能力，包括如何设计和编写机器人程序、如何完成机器人与视觉系统的标定、如何实现机器人与视觉系统的协同等。在系统运维与优化环节方面，则是一个综合性的考察，选手需要基于自身对系统原理和调试方法的熟练掌握，检测系统故障、优化系统性能，从而确保高效运行。</w:t>
      </w:r>
    </w:p>
    <w:p w14:paraId="1E6A38C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heme="minorBidi"/>
          <w:color w:val="000000"/>
          <w:kern w:val="0"/>
          <w:sz w:val="28"/>
          <w:szCs w:val="28"/>
          <w:u w:color="000000"/>
          <w:lang w:val="en-US" w:eastAsia="zh-CN" w:bidi="ar-SA"/>
        </w:rPr>
      </w:pPr>
      <w:r>
        <w:rPr>
          <w:rFonts w:hint="eastAsia" w:ascii="Times New Roman" w:hAnsi="Times New Roman" w:eastAsia="仿宋_GB2312" w:cstheme="minorBidi"/>
          <w:color w:val="000000"/>
          <w:kern w:val="0"/>
          <w:sz w:val="28"/>
          <w:szCs w:val="28"/>
          <w:u w:color="000000"/>
          <w:lang w:val="en-US" w:eastAsia="zh-CN" w:bidi="ar-SA"/>
        </w:rPr>
        <w:t>通过以上环节的考察，选手将能够全面展现其在人工智能与视觉技术方面的技能和能力，培养其在人工智能和工程领域的实践能力和创新意识，为其未来的学习和发展提供更广阔的空间和机会。</w:t>
      </w:r>
    </w:p>
    <w:p w14:paraId="31B474D0">
      <w:pPr>
        <w:pStyle w:val="3"/>
        <w:keepNext/>
        <w:keepLines/>
        <w:pageBreakBefore w:val="0"/>
        <w:widowControl w:val="0"/>
        <w:kinsoku/>
        <w:wordWrap/>
        <w:overflowPunct/>
        <w:topLinePunct w:val="0"/>
        <w:autoSpaceDE/>
        <w:autoSpaceDN/>
        <w:bidi w:val="0"/>
        <w:adjustRightInd/>
        <w:snapToGrid/>
        <w:spacing w:before="157" w:beforeLines="50" w:after="157" w:afterLines="50" w:line="560" w:lineRule="exact"/>
        <w:ind w:firstLine="643"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五、竞赛流程</w:t>
      </w:r>
    </w:p>
    <w:p w14:paraId="453C14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_GB2312" w:cstheme="minorBidi"/>
          <w:b/>
          <w:bCs/>
          <w:color w:val="000000"/>
          <w:kern w:val="0"/>
          <w:sz w:val="28"/>
          <w:szCs w:val="28"/>
          <w:highlight w:val="none"/>
          <w:u w:color="000000"/>
          <w:lang w:val="en-US" w:eastAsia="zh-CN" w:bidi="ar-SA"/>
        </w:rPr>
      </w:pPr>
      <w:r>
        <w:rPr>
          <w:rFonts w:hint="eastAsia" w:ascii="Times New Roman" w:hAnsi="Times New Roman" w:eastAsia="仿宋_GB2312" w:cstheme="minorBidi"/>
          <w:b/>
          <w:bCs/>
          <w:color w:val="000000"/>
          <w:kern w:val="0"/>
          <w:sz w:val="28"/>
          <w:szCs w:val="28"/>
          <w:highlight w:val="none"/>
          <w:u w:color="000000"/>
          <w:lang w:val="en-US" w:eastAsia="zh-CN" w:bidi="ar-SA"/>
        </w:rPr>
        <w:t>（一）竞赛时间表</w:t>
      </w:r>
    </w:p>
    <w:p w14:paraId="100E34E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rPr>
          <w:rFonts w:hint="eastAsia"/>
          <w:lang w:val="en-US" w:eastAsia="zh-CN"/>
        </w:rPr>
      </w:pPr>
      <w:r>
        <w:rPr>
          <w:rFonts w:hint="eastAsia" w:ascii="Times New Roman" w:hAnsi="Times New Roman" w:eastAsia="仿宋_GB2312" w:cstheme="minorBidi"/>
          <w:color w:val="000000"/>
          <w:kern w:val="0"/>
          <w:sz w:val="28"/>
          <w:szCs w:val="28"/>
          <w:u w:color="000000"/>
          <w:lang w:val="en-US" w:eastAsia="zh-CN" w:bidi="ar-SA"/>
        </w:rPr>
        <w:t>竞赛项目采取任务书形式下达竞赛要求，选手在规定时间内完成竞赛任务书给定的任务。竞赛时间安排参考表1，根据比赛的组织需要进行适当调整，具体安排以正式发布的竞赛指南为准。</w:t>
      </w:r>
    </w:p>
    <w:tbl>
      <w:tblPr>
        <w:tblStyle w:val="14"/>
        <w:tblpPr w:leftFromText="180" w:rightFromText="180" w:vertAnchor="text" w:horzAnchor="page" w:tblpX="1910" w:tblpY="660"/>
        <w:tblOverlap w:val="never"/>
        <w:tblW w:w="8522" w:type="dxa"/>
        <w:tblInd w:w="0" w:type="dxa"/>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492"/>
        <w:gridCol w:w="2693"/>
        <w:gridCol w:w="2127"/>
        <w:gridCol w:w="1302"/>
      </w:tblGrid>
      <w:tr w14:paraId="1C59A890">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908" w:type="dxa"/>
            <w:vAlign w:val="center"/>
          </w:tcPr>
          <w:p w14:paraId="3F8E08D3">
            <w:pPr>
              <w:contextualSpacing/>
              <w:jc w:val="center"/>
              <w:rPr>
                <w:rFonts w:ascii="Times New Roman" w:hAnsi="Times New Roman" w:eastAsia="仿宋_GB2312"/>
                <w:b/>
                <w:bCs/>
                <w:color w:val="000000"/>
                <w:sz w:val="24"/>
              </w:rPr>
            </w:pPr>
            <w:r>
              <w:rPr>
                <w:rFonts w:ascii="Times New Roman" w:hAnsi="Times New Roman" w:eastAsia="仿宋_GB2312"/>
                <w:b/>
                <w:bCs/>
                <w:color w:val="000000"/>
                <w:sz w:val="24"/>
              </w:rPr>
              <w:t>日期</w:t>
            </w:r>
          </w:p>
        </w:tc>
        <w:tc>
          <w:tcPr>
            <w:tcW w:w="1492" w:type="dxa"/>
            <w:vAlign w:val="center"/>
          </w:tcPr>
          <w:p w14:paraId="1F5AE690">
            <w:pPr>
              <w:contextualSpacing/>
              <w:jc w:val="center"/>
              <w:rPr>
                <w:rFonts w:ascii="Times New Roman" w:hAnsi="Times New Roman" w:eastAsia="仿宋_GB2312"/>
                <w:b/>
                <w:bCs/>
                <w:color w:val="000000"/>
                <w:sz w:val="24"/>
              </w:rPr>
            </w:pPr>
            <w:r>
              <w:rPr>
                <w:rFonts w:ascii="Times New Roman" w:hAnsi="Times New Roman" w:eastAsia="仿宋_GB2312"/>
                <w:b/>
                <w:bCs/>
                <w:color w:val="000000"/>
                <w:sz w:val="24"/>
              </w:rPr>
              <w:t>时间</w:t>
            </w:r>
          </w:p>
        </w:tc>
        <w:tc>
          <w:tcPr>
            <w:tcW w:w="2693" w:type="dxa"/>
            <w:vAlign w:val="center"/>
          </w:tcPr>
          <w:p w14:paraId="59F5A032">
            <w:pPr>
              <w:contextualSpacing/>
              <w:jc w:val="center"/>
              <w:rPr>
                <w:rFonts w:ascii="Times New Roman" w:hAnsi="Times New Roman" w:eastAsia="仿宋_GB2312"/>
                <w:b/>
                <w:bCs/>
                <w:color w:val="000000"/>
                <w:sz w:val="24"/>
              </w:rPr>
            </w:pPr>
            <w:r>
              <w:rPr>
                <w:rFonts w:ascii="Times New Roman" w:hAnsi="Times New Roman" w:eastAsia="仿宋_GB2312"/>
                <w:b/>
                <w:bCs/>
                <w:color w:val="000000"/>
                <w:sz w:val="24"/>
              </w:rPr>
              <w:t>事项</w:t>
            </w:r>
          </w:p>
        </w:tc>
        <w:tc>
          <w:tcPr>
            <w:tcW w:w="2127" w:type="dxa"/>
            <w:vAlign w:val="center"/>
          </w:tcPr>
          <w:p w14:paraId="726B5FF8">
            <w:pPr>
              <w:contextualSpacing/>
              <w:jc w:val="center"/>
              <w:rPr>
                <w:rFonts w:ascii="Times New Roman" w:hAnsi="Times New Roman" w:eastAsia="仿宋_GB2312"/>
                <w:b/>
                <w:bCs/>
                <w:color w:val="000000"/>
                <w:sz w:val="24"/>
              </w:rPr>
            </w:pPr>
            <w:r>
              <w:rPr>
                <w:rFonts w:ascii="Times New Roman" w:hAnsi="Times New Roman" w:eastAsia="仿宋_GB2312"/>
                <w:b/>
                <w:bCs/>
                <w:color w:val="000000"/>
                <w:sz w:val="24"/>
              </w:rPr>
              <w:t>参加人员</w:t>
            </w:r>
          </w:p>
        </w:tc>
        <w:tc>
          <w:tcPr>
            <w:tcW w:w="1302" w:type="dxa"/>
            <w:vAlign w:val="center"/>
          </w:tcPr>
          <w:p w14:paraId="2718BB67">
            <w:pPr>
              <w:contextualSpacing/>
              <w:jc w:val="center"/>
              <w:rPr>
                <w:rFonts w:ascii="Times New Roman" w:hAnsi="Times New Roman" w:eastAsia="仿宋_GB2312"/>
                <w:b/>
                <w:bCs/>
                <w:color w:val="000000"/>
                <w:sz w:val="24"/>
              </w:rPr>
            </w:pPr>
            <w:r>
              <w:rPr>
                <w:rFonts w:ascii="Times New Roman" w:hAnsi="Times New Roman" w:eastAsia="仿宋_GB2312"/>
                <w:b/>
                <w:bCs/>
                <w:color w:val="000000"/>
                <w:sz w:val="24"/>
              </w:rPr>
              <w:t>地点</w:t>
            </w:r>
          </w:p>
        </w:tc>
      </w:tr>
      <w:tr w14:paraId="6F751B00">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8" w:type="dxa"/>
            <w:vMerge w:val="restart"/>
            <w:vAlign w:val="center"/>
          </w:tcPr>
          <w:p w14:paraId="240E4E23">
            <w:pPr>
              <w:contextualSpacing/>
              <w:jc w:val="center"/>
              <w:rPr>
                <w:rFonts w:ascii="Times New Roman" w:hAnsi="Times New Roman" w:eastAsia="仿宋_GB2312"/>
                <w:color w:val="000000"/>
                <w:szCs w:val="21"/>
              </w:rPr>
            </w:pPr>
            <w:r>
              <w:rPr>
                <w:rFonts w:ascii="Times New Roman" w:hAnsi="Times New Roman" w:eastAsia="仿宋_GB2312"/>
                <w:color w:val="000000"/>
                <w:szCs w:val="21"/>
              </w:rPr>
              <w:t>竞赛</w:t>
            </w:r>
          </w:p>
          <w:p w14:paraId="5C3B1236">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rPr>
              <w:t>前1日</w:t>
            </w:r>
          </w:p>
        </w:tc>
        <w:tc>
          <w:tcPr>
            <w:tcW w:w="1492" w:type="dxa"/>
            <w:vAlign w:val="center"/>
          </w:tcPr>
          <w:p w14:paraId="24E1F0ED">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09:00-12:00</w:t>
            </w:r>
          </w:p>
        </w:tc>
        <w:tc>
          <w:tcPr>
            <w:tcW w:w="2693" w:type="dxa"/>
            <w:vAlign w:val="center"/>
          </w:tcPr>
          <w:p w14:paraId="5943FAD2">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参赛队报到，安排住宿，领取资料</w:t>
            </w:r>
          </w:p>
        </w:tc>
        <w:tc>
          <w:tcPr>
            <w:tcW w:w="2127" w:type="dxa"/>
            <w:vAlign w:val="center"/>
          </w:tcPr>
          <w:p w14:paraId="44634E89">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工作人员、参赛队</w:t>
            </w:r>
          </w:p>
        </w:tc>
        <w:tc>
          <w:tcPr>
            <w:tcW w:w="1302" w:type="dxa"/>
            <w:vAlign w:val="center"/>
          </w:tcPr>
          <w:p w14:paraId="2482E25B">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住宿酒店</w:t>
            </w:r>
          </w:p>
        </w:tc>
      </w:tr>
      <w:tr w14:paraId="23327BE2">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8" w:type="dxa"/>
            <w:vMerge w:val="continue"/>
            <w:vAlign w:val="center"/>
          </w:tcPr>
          <w:p w14:paraId="74167F7E">
            <w:pPr>
              <w:contextualSpacing/>
              <w:jc w:val="center"/>
              <w:rPr>
                <w:rFonts w:ascii="Times New Roman" w:hAnsi="Times New Roman" w:eastAsia="仿宋_GB2312"/>
                <w:color w:val="000000"/>
                <w:szCs w:val="21"/>
              </w:rPr>
            </w:pPr>
          </w:p>
        </w:tc>
        <w:tc>
          <w:tcPr>
            <w:tcW w:w="1492" w:type="dxa"/>
            <w:vAlign w:val="center"/>
          </w:tcPr>
          <w:p w14:paraId="60EB50BD">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09:00-12:00</w:t>
            </w:r>
          </w:p>
        </w:tc>
        <w:tc>
          <w:tcPr>
            <w:tcW w:w="2693" w:type="dxa"/>
            <w:vAlign w:val="center"/>
          </w:tcPr>
          <w:p w14:paraId="5BAC5E88">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裁判工作会议</w:t>
            </w:r>
          </w:p>
        </w:tc>
        <w:tc>
          <w:tcPr>
            <w:tcW w:w="2127" w:type="dxa"/>
            <w:vAlign w:val="center"/>
          </w:tcPr>
          <w:p w14:paraId="149F5FD1">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裁判长、裁判员、监督仲裁组</w:t>
            </w:r>
          </w:p>
        </w:tc>
        <w:tc>
          <w:tcPr>
            <w:tcW w:w="1302" w:type="dxa"/>
            <w:vAlign w:val="center"/>
          </w:tcPr>
          <w:p w14:paraId="5DA6105D">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会议室</w:t>
            </w:r>
          </w:p>
        </w:tc>
      </w:tr>
      <w:tr w14:paraId="3C521FAA">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8" w:type="dxa"/>
            <w:vMerge w:val="continue"/>
            <w:vAlign w:val="center"/>
          </w:tcPr>
          <w:p w14:paraId="0F861690">
            <w:pPr>
              <w:contextualSpacing/>
              <w:jc w:val="center"/>
              <w:rPr>
                <w:rFonts w:ascii="Times New Roman" w:hAnsi="Times New Roman" w:eastAsia="仿宋_GB2312"/>
                <w:color w:val="000000"/>
                <w:szCs w:val="21"/>
              </w:rPr>
            </w:pPr>
          </w:p>
        </w:tc>
        <w:tc>
          <w:tcPr>
            <w:tcW w:w="1492" w:type="dxa"/>
            <w:vAlign w:val="center"/>
          </w:tcPr>
          <w:p w14:paraId="4D7052C0">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13:00-14:30</w:t>
            </w:r>
          </w:p>
        </w:tc>
        <w:tc>
          <w:tcPr>
            <w:tcW w:w="2693" w:type="dxa"/>
            <w:vAlign w:val="center"/>
          </w:tcPr>
          <w:p w14:paraId="32C81B72">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领队工作会议</w:t>
            </w:r>
          </w:p>
        </w:tc>
        <w:tc>
          <w:tcPr>
            <w:tcW w:w="2127" w:type="dxa"/>
            <w:vAlign w:val="center"/>
          </w:tcPr>
          <w:p w14:paraId="3CE2A120">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各参赛队领队、裁判长</w:t>
            </w:r>
          </w:p>
        </w:tc>
        <w:tc>
          <w:tcPr>
            <w:tcW w:w="1302" w:type="dxa"/>
            <w:vAlign w:val="center"/>
          </w:tcPr>
          <w:p w14:paraId="5E19E0E1">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会议室</w:t>
            </w:r>
          </w:p>
        </w:tc>
      </w:tr>
      <w:tr w14:paraId="75DA21BF">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08" w:type="dxa"/>
            <w:vMerge w:val="continue"/>
            <w:vAlign w:val="center"/>
          </w:tcPr>
          <w:p w14:paraId="178BD0C3">
            <w:pPr>
              <w:contextualSpacing/>
              <w:jc w:val="center"/>
              <w:rPr>
                <w:rFonts w:ascii="Times New Roman" w:hAnsi="Times New Roman" w:eastAsia="仿宋_GB2312"/>
                <w:color w:val="000000"/>
                <w:szCs w:val="21"/>
              </w:rPr>
            </w:pPr>
          </w:p>
        </w:tc>
        <w:tc>
          <w:tcPr>
            <w:tcW w:w="1492" w:type="dxa"/>
            <w:vAlign w:val="center"/>
          </w:tcPr>
          <w:p w14:paraId="2C537C7F">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15:00-16:00</w:t>
            </w:r>
          </w:p>
        </w:tc>
        <w:tc>
          <w:tcPr>
            <w:tcW w:w="2693" w:type="dxa"/>
            <w:vAlign w:val="center"/>
          </w:tcPr>
          <w:p w14:paraId="116C3FB7">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参观赛场</w:t>
            </w:r>
          </w:p>
        </w:tc>
        <w:tc>
          <w:tcPr>
            <w:tcW w:w="2127" w:type="dxa"/>
            <w:vAlign w:val="center"/>
          </w:tcPr>
          <w:p w14:paraId="24DF5031">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各参赛队领队</w:t>
            </w:r>
          </w:p>
        </w:tc>
        <w:tc>
          <w:tcPr>
            <w:tcW w:w="1302" w:type="dxa"/>
            <w:vAlign w:val="center"/>
          </w:tcPr>
          <w:p w14:paraId="7BB2FE24">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竞赛场地</w:t>
            </w:r>
          </w:p>
        </w:tc>
      </w:tr>
      <w:tr w14:paraId="3C2DA13A">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8" w:type="dxa"/>
            <w:vMerge w:val="continue"/>
            <w:vAlign w:val="center"/>
          </w:tcPr>
          <w:p w14:paraId="5066A2D4">
            <w:pPr>
              <w:contextualSpacing/>
              <w:jc w:val="center"/>
              <w:rPr>
                <w:rFonts w:ascii="Times New Roman" w:hAnsi="Times New Roman" w:eastAsia="仿宋_GB2312"/>
                <w:color w:val="000000"/>
                <w:szCs w:val="21"/>
              </w:rPr>
            </w:pPr>
          </w:p>
        </w:tc>
        <w:tc>
          <w:tcPr>
            <w:tcW w:w="1492" w:type="dxa"/>
            <w:vAlign w:val="center"/>
          </w:tcPr>
          <w:p w14:paraId="34244C25">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16:00-20</w:t>
            </w:r>
            <w:r>
              <w:rPr>
                <w:rFonts w:hint="eastAsia" w:ascii="Times New Roman" w:hAnsi="Times New Roman" w:eastAsia="仿宋_GB2312"/>
                <w:color w:val="000000"/>
                <w:szCs w:val="21"/>
                <w:shd w:val="clear" w:color="auto" w:fill="FFFFFF"/>
              </w:rPr>
              <w:t>:</w:t>
            </w:r>
            <w:r>
              <w:rPr>
                <w:rFonts w:ascii="Times New Roman" w:hAnsi="Times New Roman" w:eastAsia="仿宋_GB2312"/>
                <w:color w:val="000000"/>
                <w:szCs w:val="21"/>
                <w:shd w:val="clear" w:color="auto" w:fill="FFFFFF"/>
              </w:rPr>
              <w:t>00</w:t>
            </w:r>
          </w:p>
        </w:tc>
        <w:tc>
          <w:tcPr>
            <w:tcW w:w="2693" w:type="dxa"/>
            <w:vAlign w:val="center"/>
          </w:tcPr>
          <w:p w14:paraId="2596E4DB">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检查封闭赛场</w:t>
            </w:r>
          </w:p>
        </w:tc>
        <w:tc>
          <w:tcPr>
            <w:tcW w:w="2127" w:type="dxa"/>
            <w:vAlign w:val="center"/>
          </w:tcPr>
          <w:p w14:paraId="3CBD1A58">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裁判长、监督仲裁组</w:t>
            </w:r>
          </w:p>
        </w:tc>
        <w:tc>
          <w:tcPr>
            <w:tcW w:w="1302" w:type="dxa"/>
            <w:vAlign w:val="center"/>
          </w:tcPr>
          <w:p w14:paraId="60F2C584">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竞赛场地</w:t>
            </w:r>
          </w:p>
        </w:tc>
      </w:tr>
      <w:tr w14:paraId="251CBC96">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08" w:type="dxa"/>
            <w:vMerge w:val="restart"/>
            <w:vAlign w:val="center"/>
          </w:tcPr>
          <w:p w14:paraId="6C46EF34">
            <w:pPr>
              <w:contextualSpacing/>
              <w:jc w:val="center"/>
              <w:rPr>
                <w:rFonts w:ascii="Times New Roman" w:hAnsi="Times New Roman" w:eastAsia="仿宋_GB2312"/>
                <w:color w:val="000000"/>
                <w:szCs w:val="21"/>
              </w:rPr>
            </w:pPr>
            <w:r>
              <w:rPr>
                <w:rFonts w:ascii="Times New Roman" w:hAnsi="Times New Roman" w:eastAsia="仿宋_GB2312"/>
                <w:color w:val="000000"/>
                <w:szCs w:val="21"/>
              </w:rPr>
              <w:t>竞赛</w:t>
            </w:r>
          </w:p>
          <w:p w14:paraId="40E67809">
            <w:pPr>
              <w:contextualSpacing/>
              <w:jc w:val="center"/>
              <w:rPr>
                <w:rFonts w:ascii="Times New Roman" w:hAnsi="Times New Roman" w:eastAsia="仿宋_GB2312"/>
                <w:color w:val="000000"/>
                <w:szCs w:val="21"/>
              </w:rPr>
            </w:pPr>
            <w:r>
              <w:rPr>
                <w:rFonts w:ascii="Times New Roman" w:hAnsi="Times New Roman" w:eastAsia="仿宋_GB2312"/>
                <w:color w:val="000000"/>
                <w:szCs w:val="21"/>
              </w:rPr>
              <w:t>第1天</w:t>
            </w:r>
          </w:p>
        </w:tc>
        <w:tc>
          <w:tcPr>
            <w:tcW w:w="1492" w:type="dxa"/>
            <w:vAlign w:val="center"/>
          </w:tcPr>
          <w:p w14:paraId="09DD9882">
            <w:pPr>
              <w:contextualSpacing/>
              <w:jc w:val="center"/>
              <w:rPr>
                <w:rFonts w:hint="default" w:ascii="Times New Roman" w:hAnsi="Times New Roman" w:eastAsia="仿宋_GB2312"/>
                <w:bCs/>
                <w:color w:val="000000"/>
                <w:kern w:val="0"/>
                <w:szCs w:val="21"/>
                <w:lang w:val="en-US" w:eastAsia="zh-CN"/>
              </w:rPr>
            </w:pPr>
            <w:r>
              <w:rPr>
                <w:rFonts w:hint="eastAsia" w:ascii="Times New Roman" w:hAnsi="Times New Roman" w:eastAsia="仿宋_GB2312"/>
                <w:bCs/>
                <w:color w:val="000000"/>
                <w:kern w:val="0"/>
                <w:szCs w:val="21"/>
                <w:lang w:val="en-US" w:eastAsia="zh-CN"/>
              </w:rPr>
              <w:t>8:00-8:30</w:t>
            </w:r>
          </w:p>
        </w:tc>
        <w:tc>
          <w:tcPr>
            <w:tcW w:w="2693" w:type="dxa"/>
            <w:vAlign w:val="center"/>
          </w:tcPr>
          <w:p w14:paraId="27531A85">
            <w:pPr>
              <w:contextualSpacing/>
              <w:jc w:val="center"/>
              <w:rPr>
                <w:rFonts w:hint="eastAsia" w:ascii="Times New Roman" w:hAnsi="Times New Roman" w:eastAsia="仿宋_GB2312"/>
                <w:bCs/>
                <w:color w:val="000000"/>
                <w:kern w:val="0"/>
                <w:szCs w:val="21"/>
                <w:lang w:val="en-US" w:eastAsia="zh-CN"/>
              </w:rPr>
            </w:pPr>
            <w:r>
              <w:rPr>
                <w:rFonts w:hint="eastAsia" w:ascii="Times New Roman" w:hAnsi="Times New Roman" w:eastAsia="仿宋_GB2312"/>
                <w:bCs/>
                <w:color w:val="000000"/>
                <w:kern w:val="0"/>
                <w:szCs w:val="21"/>
                <w:lang w:val="en-US" w:eastAsia="zh-CN"/>
              </w:rPr>
              <w:t>开幕式</w:t>
            </w:r>
          </w:p>
        </w:tc>
        <w:tc>
          <w:tcPr>
            <w:tcW w:w="2127" w:type="dxa"/>
            <w:vAlign w:val="center"/>
          </w:tcPr>
          <w:p w14:paraId="044386AB">
            <w:pPr>
              <w:contextualSpacing/>
              <w:jc w:val="center"/>
              <w:rPr>
                <w:rFonts w:hint="default" w:ascii="Times New Roman" w:hAnsi="Times New Roman" w:eastAsia="仿宋_GB2312"/>
                <w:bCs/>
                <w:color w:val="000000"/>
                <w:kern w:val="0"/>
                <w:szCs w:val="21"/>
                <w:lang w:val="en-US" w:eastAsia="zh-CN"/>
              </w:rPr>
            </w:pPr>
            <w:r>
              <w:rPr>
                <w:rFonts w:hint="eastAsia" w:ascii="Times New Roman" w:hAnsi="Times New Roman" w:eastAsia="仿宋_GB2312"/>
                <w:bCs/>
                <w:color w:val="000000"/>
                <w:kern w:val="0"/>
                <w:szCs w:val="21"/>
                <w:lang w:val="en-US" w:eastAsia="zh-CN"/>
              </w:rPr>
              <w:t>领导、嘉宾、裁判、各参赛队、专家组</w:t>
            </w:r>
          </w:p>
        </w:tc>
        <w:tc>
          <w:tcPr>
            <w:tcW w:w="1302" w:type="dxa"/>
            <w:vAlign w:val="center"/>
          </w:tcPr>
          <w:p w14:paraId="0A6DF90F">
            <w:pPr>
              <w:contextualSpacing/>
              <w:jc w:val="center"/>
              <w:rPr>
                <w:rFonts w:hint="default" w:ascii="Times New Roman" w:hAnsi="Times New Roman" w:eastAsia="仿宋_GB2312"/>
                <w:color w:val="000000"/>
                <w:szCs w:val="21"/>
                <w:shd w:val="clear" w:color="auto" w:fill="FFFFFF"/>
                <w:lang w:val="en-US" w:eastAsia="zh-CN"/>
              </w:rPr>
            </w:pPr>
            <w:r>
              <w:rPr>
                <w:rFonts w:hint="eastAsia" w:ascii="Times New Roman" w:hAnsi="Times New Roman" w:eastAsia="仿宋_GB2312"/>
                <w:color w:val="000000"/>
                <w:szCs w:val="21"/>
                <w:shd w:val="clear" w:color="auto" w:fill="FFFFFF"/>
                <w:lang w:val="en-US" w:eastAsia="zh-CN"/>
              </w:rPr>
              <w:t>报告厅</w:t>
            </w:r>
          </w:p>
        </w:tc>
      </w:tr>
      <w:tr w14:paraId="391EE1D2">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08" w:type="dxa"/>
            <w:vMerge w:val="continue"/>
            <w:vAlign w:val="center"/>
          </w:tcPr>
          <w:p w14:paraId="21BF0FCE">
            <w:pPr>
              <w:contextualSpacing/>
              <w:jc w:val="center"/>
              <w:rPr>
                <w:rFonts w:ascii="Times New Roman" w:hAnsi="Times New Roman" w:eastAsia="仿宋_GB2312"/>
                <w:color w:val="000000"/>
                <w:szCs w:val="21"/>
              </w:rPr>
            </w:pPr>
          </w:p>
        </w:tc>
        <w:tc>
          <w:tcPr>
            <w:tcW w:w="1492" w:type="dxa"/>
            <w:vAlign w:val="center"/>
          </w:tcPr>
          <w:p w14:paraId="449A09E4">
            <w:pPr>
              <w:contextualSpacing/>
              <w:jc w:val="center"/>
              <w:rPr>
                <w:rFonts w:ascii="Times New Roman" w:hAnsi="Times New Roman" w:eastAsia="仿宋_GB2312"/>
                <w:bCs/>
                <w:color w:val="000000"/>
                <w:kern w:val="0"/>
                <w:szCs w:val="21"/>
              </w:rPr>
            </w:pPr>
            <w:r>
              <w:rPr>
                <w:rFonts w:hint="eastAsia" w:ascii="Times New Roman" w:hAnsi="Times New Roman" w:eastAsia="仿宋_GB2312"/>
                <w:bCs/>
                <w:color w:val="000000"/>
                <w:kern w:val="0"/>
                <w:szCs w:val="21"/>
                <w:lang w:val="en-US" w:eastAsia="zh-CN"/>
              </w:rPr>
              <w:t>8:40</w:t>
            </w:r>
            <w:r>
              <w:rPr>
                <w:rFonts w:ascii="Times New Roman" w:hAnsi="Times New Roman" w:eastAsia="仿宋_GB2312"/>
                <w:bCs/>
                <w:color w:val="000000"/>
                <w:kern w:val="0"/>
                <w:szCs w:val="21"/>
              </w:rPr>
              <w:t>-0</w:t>
            </w:r>
            <w:r>
              <w:rPr>
                <w:rFonts w:hint="eastAsia" w:ascii="Times New Roman" w:hAnsi="Times New Roman" w:eastAsia="仿宋_GB2312"/>
                <w:bCs/>
                <w:color w:val="000000"/>
                <w:kern w:val="0"/>
                <w:szCs w:val="21"/>
                <w:lang w:val="en-US" w:eastAsia="zh-CN"/>
              </w:rPr>
              <w:t>9</w:t>
            </w:r>
            <w:r>
              <w:rPr>
                <w:rFonts w:ascii="Times New Roman" w:hAnsi="Times New Roman" w:eastAsia="仿宋_GB2312"/>
                <w:bCs/>
                <w:color w:val="000000"/>
                <w:kern w:val="0"/>
                <w:szCs w:val="21"/>
              </w:rPr>
              <w:t>:</w:t>
            </w:r>
            <w:r>
              <w:rPr>
                <w:rFonts w:hint="eastAsia" w:ascii="Times New Roman" w:hAnsi="Times New Roman" w:eastAsia="仿宋_GB2312"/>
                <w:bCs/>
                <w:color w:val="000000"/>
                <w:kern w:val="0"/>
                <w:szCs w:val="21"/>
                <w:lang w:val="en-US" w:eastAsia="zh-CN"/>
              </w:rPr>
              <w:t>4</w:t>
            </w:r>
            <w:r>
              <w:rPr>
                <w:rFonts w:ascii="Times New Roman" w:hAnsi="Times New Roman" w:eastAsia="仿宋_GB2312"/>
                <w:bCs/>
                <w:color w:val="000000"/>
                <w:kern w:val="0"/>
                <w:szCs w:val="21"/>
              </w:rPr>
              <w:t>0</w:t>
            </w:r>
          </w:p>
        </w:tc>
        <w:tc>
          <w:tcPr>
            <w:tcW w:w="2693" w:type="dxa"/>
            <w:vAlign w:val="center"/>
          </w:tcPr>
          <w:p w14:paraId="737C7F12">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参赛选手检录</w:t>
            </w:r>
          </w:p>
        </w:tc>
        <w:tc>
          <w:tcPr>
            <w:tcW w:w="2127" w:type="dxa"/>
            <w:vAlign w:val="center"/>
          </w:tcPr>
          <w:p w14:paraId="5C269EDD">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参赛选手、现场裁判</w:t>
            </w:r>
          </w:p>
        </w:tc>
        <w:tc>
          <w:tcPr>
            <w:tcW w:w="1302" w:type="dxa"/>
            <w:vAlign w:val="center"/>
          </w:tcPr>
          <w:p w14:paraId="72738770">
            <w:pPr>
              <w:contextualSpacing/>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竞赛场地</w:t>
            </w:r>
          </w:p>
        </w:tc>
      </w:tr>
      <w:tr w14:paraId="5D70CEA4">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8" w:type="dxa"/>
            <w:vMerge w:val="continue"/>
            <w:vAlign w:val="center"/>
          </w:tcPr>
          <w:p w14:paraId="00DF69A0">
            <w:pPr>
              <w:contextualSpacing/>
              <w:jc w:val="center"/>
              <w:rPr>
                <w:rFonts w:ascii="Times New Roman" w:hAnsi="Times New Roman" w:eastAsia="仿宋_GB2312"/>
                <w:color w:val="000000"/>
                <w:szCs w:val="21"/>
              </w:rPr>
            </w:pPr>
          </w:p>
        </w:tc>
        <w:tc>
          <w:tcPr>
            <w:tcW w:w="1492" w:type="dxa"/>
            <w:vAlign w:val="center"/>
          </w:tcPr>
          <w:p w14:paraId="6029141D">
            <w:pPr>
              <w:contextualSpacing/>
              <w:jc w:val="center"/>
              <w:rPr>
                <w:rFonts w:ascii="Times New Roman" w:hAnsi="Times New Roman" w:eastAsia="仿宋_GB2312"/>
                <w:bCs/>
                <w:color w:val="000000"/>
                <w:kern w:val="0"/>
                <w:szCs w:val="21"/>
              </w:rPr>
            </w:pPr>
            <w:r>
              <w:rPr>
                <w:rFonts w:hint="eastAsia" w:ascii="Times New Roman" w:hAnsi="Times New Roman" w:eastAsia="仿宋_GB2312"/>
                <w:bCs/>
                <w:color w:val="000000"/>
                <w:kern w:val="0"/>
                <w:szCs w:val="21"/>
                <w:lang w:val="en-US" w:eastAsia="zh-CN"/>
              </w:rPr>
              <w:t>9</w:t>
            </w:r>
            <w:r>
              <w:rPr>
                <w:rFonts w:ascii="Times New Roman" w:hAnsi="Times New Roman" w:eastAsia="仿宋_GB2312"/>
                <w:bCs/>
                <w:color w:val="000000"/>
                <w:kern w:val="0"/>
                <w:szCs w:val="21"/>
              </w:rPr>
              <w:t>:</w:t>
            </w:r>
            <w:r>
              <w:rPr>
                <w:rFonts w:hint="eastAsia" w:ascii="Times New Roman" w:hAnsi="Times New Roman" w:eastAsia="仿宋_GB2312"/>
                <w:bCs/>
                <w:color w:val="000000"/>
                <w:kern w:val="0"/>
                <w:szCs w:val="21"/>
                <w:lang w:val="en-US" w:eastAsia="zh-CN"/>
              </w:rPr>
              <w:t>5</w:t>
            </w:r>
            <w:r>
              <w:rPr>
                <w:rFonts w:ascii="Times New Roman" w:hAnsi="Times New Roman" w:eastAsia="仿宋_GB2312"/>
                <w:bCs/>
                <w:color w:val="000000"/>
                <w:kern w:val="0"/>
                <w:szCs w:val="21"/>
              </w:rPr>
              <w:t>0-</w:t>
            </w:r>
            <w:r>
              <w:rPr>
                <w:rFonts w:hint="eastAsia" w:ascii="Times New Roman" w:hAnsi="Times New Roman" w:eastAsia="仿宋_GB2312"/>
                <w:bCs/>
                <w:color w:val="000000"/>
                <w:kern w:val="0"/>
                <w:szCs w:val="21"/>
                <w:lang w:val="en-US" w:eastAsia="zh-CN"/>
              </w:rPr>
              <w:t>10</w:t>
            </w:r>
            <w:r>
              <w:rPr>
                <w:rFonts w:ascii="Times New Roman" w:hAnsi="Times New Roman" w:eastAsia="仿宋_GB2312"/>
                <w:bCs/>
                <w:color w:val="000000"/>
                <w:kern w:val="0"/>
                <w:szCs w:val="21"/>
              </w:rPr>
              <w:t>:</w:t>
            </w:r>
            <w:r>
              <w:rPr>
                <w:rFonts w:hint="eastAsia" w:ascii="Times New Roman" w:hAnsi="Times New Roman" w:eastAsia="仿宋_GB2312"/>
                <w:bCs/>
                <w:color w:val="000000"/>
                <w:kern w:val="0"/>
                <w:szCs w:val="21"/>
                <w:lang w:val="en-US" w:eastAsia="zh-CN"/>
              </w:rPr>
              <w:t>5</w:t>
            </w:r>
            <w:r>
              <w:rPr>
                <w:rFonts w:ascii="Times New Roman" w:hAnsi="Times New Roman" w:eastAsia="仿宋_GB2312"/>
                <w:bCs/>
                <w:color w:val="000000"/>
                <w:kern w:val="0"/>
                <w:szCs w:val="21"/>
              </w:rPr>
              <w:t>0</w:t>
            </w:r>
          </w:p>
        </w:tc>
        <w:tc>
          <w:tcPr>
            <w:tcW w:w="2693" w:type="dxa"/>
            <w:vAlign w:val="center"/>
          </w:tcPr>
          <w:p w14:paraId="1E3A48AB">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选手抽签第一次加密</w:t>
            </w:r>
          </w:p>
          <w:p w14:paraId="01667A56">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选手抽签第二次加密</w:t>
            </w:r>
          </w:p>
          <w:p w14:paraId="38CF6A8E">
            <w:pPr>
              <w:contextualSpacing/>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参赛代表队入场</w:t>
            </w:r>
          </w:p>
        </w:tc>
        <w:tc>
          <w:tcPr>
            <w:tcW w:w="2127" w:type="dxa"/>
            <w:vAlign w:val="center"/>
          </w:tcPr>
          <w:p w14:paraId="709A48B3">
            <w:pPr>
              <w:contextualSpacing/>
              <w:jc w:val="center"/>
              <w:rPr>
                <w:rFonts w:ascii="Times New Roman" w:hAnsi="Times New Roman" w:eastAsia="仿宋_GB2312"/>
                <w:color w:val="000000"/>
                <w:szCs w:val="21"/>
              </w:rPr>
            </w:pPr>
            <w:r>
              <w:rPr>
                <w:rFonts w:ascii="Times New Roman" w:hAnsi="Times New Roman" w:eastAsia="仿宋_GB2312"/>
                <w:bCs/>
                <w:color w:val="000000"/>
                <w:kern w:val="0"/>
                <w:szCs w:val="21"/>
              </w:rPr>
              <w:t>参赛选手、加密裁判</w:t>
            </w:r>
          </w:p>
        </w:tc>
        <w:tc>
          <w:tcPr>
            <w:tcW w:w="1302" w:type="dxa"/>
            <w:vAlign w:val="center"/>
          </w:tcPr>
          <w:p w14:paraId="795BA81B">
            <w:pPr>
              <w:contextualSpacing/>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竞赛场地</w:t>
            </w:r>
          </w:p>
        </w:tc>
      </w:tr>
      <w:tr w14:paraId="7C7DE4BA">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8" w:type="dxa"/>
            <w:vMerge w:val="continue"/>
            <w:vAlign w:val="center"/>
          </w:tcPr>
          <w:p w14:paraId="34A82EB3">
            <w:pPr>
              <w:contextualSpacing/>
              <w:jc w:val="center"/>
              <w:rPr>
                <w:rFonts w:ascii="Times New Roman" w:hAnsi="Times New Roman" w:eastAsia="仿宋_GB2312"/>
                <w:color w:val="000000"/>
                <w:szCs w:val="21"/>
              </w:rPr>
            </w:pPr>
          </w:p>
        </w:tc>
        <w:tc>
          <w:tcPr>
            <w:tcW w:w="1492" w:type="dxa"/>
            <w:vAlign w:val="center"/>
          </w:tcPr>
          <w:p w14:paraId="05435843">
            <w:pPr>
              <w:contextualSpacing/>
              <w:jc w:val="center"/>
              <w:rPr>
                <w:rFonts w:ascii="Times New Roman" w:hAnsi="Times New Roman" w:eastAsia="仿宋_GB2312"/>
                <w:bCs/>
                <w:color w:val="000000"/>
                <w:kern w:val="0"/>
                <w:szCs w:val="21"/>
              </w:rPr>
            </w:pPr>
            <w:r>
              <w:rPr>
                <w:rFonts w:hint="eastAsia" w:ascii="Times New Roman" w:hAnsi="Times New Roman" w:eastAsia="仿宋_GB2312"/>
                <w:bCs/>
                <w:color w:val="000000"/>
                <w:kern w:val="0"/>
                <w:szCs w:val="21"/>
                <w:lang w:val="en-US" w:eastAsia="zh-CN"/>
              </w:rPr>
              <w:t>10</w:t>
            </w:r>
            <w:r>
              <w:rPr>
                <w:rFonts w:ascii="Times New Roman" w:hAnsi="Times New Roman" w:eastAsia="仿宋_GB2312"/>
                <w:bCs/>
                <w:color w:val="000000"/>
                <w:kern w:val="0"/>
                <w:szCs w:val="21"/>
              </w:rPr>
              <w:t>:50-</w:t>
            </w:r>
            <w:r>
              <w:rPr>
                <w:rFonts w:hint="eastAsia" w:ascii="Times New Roman" w:hAnsi="Times New Roman" w:eastAsia="仿宋_GB2312"/>
                <w:bCs/>
                <w:color w:val="000000"/>
                <w:kern w:val="0"/>
                <w:szCs w:val="21"/>
                <w:lang w:val="en-US" w:eastAsia="zh-CN"/>
              </w:rPr>
              <w:t>11</w:t>
            </w:r>
            <w:r>
              <w:rPr>
                <w:rFonts w:ascii="Times New Roman" w:hAnsi="Times New Roman" w:eastAsia="仿宋_GB2312"/>
                <w:bCs/>
                <w:color w:val="000000"/>
                <w:kern w:val="0"/>
                <w:szCs w:val="21"/>
              </w:rPr>
              <w:t>:00</w:t>
            </w:r>
          </w:p>
        </w:tc>
        <w:tc>
          <w:tcPr>
            <w:tcW w:w="2693" w:type="dxa"/>
            <w:vAlign w:val="center"/>
          </w:tcPr>
          <w:p w14:paraId="0A1BDF01">
            <w:pPr>
              <w:contextualSpacing/>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宣读考场纪律</w:t>
            </w:r>
          </w:p>
          <w:p w14:paraId="090DE0D1">
            <w:pPr>
              <w:contextualSpacing/>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发放赛题</w:t>
            </w:r>
          </w:p>
        </w:tc>
        <w:tc>
          <w:tcPr>
            <w:tcW w:w="2127" w:type="dxa"/>
            <w:vAlign w:val="center"/>
          </w:tcPr>
          <w:p w14:paraId="0AADBE48">
            <w:pPr>
              <w:contextualSpacing/>
              <w:jc w:val="center"/>
              <w:rPr>
                <w:rFonts w:ascii="Times New Roman" w:hAnsi="Times New Roman" w:eastAsia="仿宋_GB2312"/>
                <w:color w:val="000000"/>
                <w:szCs w:val="21"/>
              </w:rPr>
            </w:pPr>
            <w:r>
              <w:rPr>
                <w:rFonts w:ascii="Times New Roman" w:hAnsi="Times New Roman" w:eastAsia="仿宋_GB2312"/>
                <w:bCs/>
                <w:color w:val="000000"/>
                <w:kern w:val="0"/>
                <w:szCs w:val="21"/>
              </w:rPr>
              <w:t>参赛选手、现场裁判</w:t>
            </w:r>
          </w:p>
        </w:tc>
        <w:tc>
          <w:tcPr>
            <w:tcW w:w="1302" w:type="dxa"/>
            <w:vAlign w:val="center"/>
          </w:tcPr>
          <w:p w14:paraId="462178CE">
            <w:pPr>
              <w:contextualSpacing/>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竞赛场地</w:t>
            </w:r>
          </w:p>
        </w:tc>
      </w:tr>
      <w:tr w14:paraId="543A6A58">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08" w:type="dxa"/>
            <w:vMerge w:val="continue"/>
            <w:vAlign w:val="center"/>
          </w:tcPr>
          <w:p w14:paraId="5B082BC7">
            <w:pPr>
              <w:contextualSpacing/>
              <w:jc w:val="center"/>
              <w:rPr>
                <w:rFonts w:ascii="Times New Roman" w:hAnsi="Times New Roman" w:eastAsia="仿宋_GB2312"/>
                <w:color w:val="000000"/>
                <w:szCs w:val="21"/>
              </w:rPr>
            </w:pPr>
          </w:p>
        </w:tc>
        <w:tc>
          <w:tcPr>
            <w:tcW w:w="1492" w:type="dxa"/>
            <w:vAlign w:val="center"/>
          </w:tcPr>
          <w:p w14:paraId="1428F19A">
            <w:pPr>
              <w:contextualSpacing/>
              <w:jc w:val="center"/>
              <w:rPr>
                <w:rFonts w:hint="default" w:ascii="Times New Roman" w:hAnsi="Times New Roman" w:eastAsia="仿宋_GB2312"/>
                <w:bCs/>
                <w:color w:val="000000"/>
                <w:kern w:val="0"/>
                <w:szCs w:val="21"/>
                <w:lang w:val="en-US"/>
              </w:rPr>
            </w:pPr>
            <w:r>
              <w:rPr>
                <w:rFonts w:hint="eastAsia" w:ascii="Times New Roman" w:hAnsi="Times New Roman" w:eastAsia="仿宋_GB2312"/>
                <w:bCs/>
                <w:color w:val="000000"/>
                <w:kern w:val="0"/>
                <w:szCs w:val="21"/>
                <w:lang w:val="en-US" w:eastAsia="zh-CN"/>
              </w:rPr>
              <w:t>11</w:t>
            </w:r>
            <w:r>
              <w:rPr>
                <w:rFonts w:ascii="Times New Roman" w:hAnsi="Times New Roman" w:eastAsia="仿宋_GB2312"/>
                <w:bCs/>
                <w:color w:val="000000"/>
                <w:kern w:val="0"/>
                <w:szCs w:val="21"/>
              </w:rPr>
              <w:t>:00-1</w:t>
            </w:r>
            <w:r>
              <w:rPr>
                <w:rFonts w:hint="eastAsia" w:ascii="Times New Roman" w:hAnsi="Times New Roman" w:eastAsia="仿宋_GB2312"/>
                <w:bCs/>
                <w:color w:val="000000"/>
                <w:kern w:val="0"/>
                <w:szCs w:val="21"/>
                <w:lang w:val="en-US" w:eastAsia="zh-CN"/>
              </w:rPr>
              <w:t>2:00</w:t>
            </w:r>
          </w:p>
        </w:tc>
        <w:tc>
          <w:tcPr>
            <w:tcW w:w="2693" w:type="dxa"/>
            <w:vAlign w:val="center"/>
          </w:tcPr>
          <w:p w14:paraId="2BF8BC01">
            <w:pPr>
              <w:contextualSpacing/>
              <w:jc w:val="center"/>
              <w:rPr>
                <w:rFonts w:ascii="Times New Roman" w:hAnsi="Times New Roman" w:eastAsia="仿宋_GB2312"/>
                <w:color w:val="000000"/>
                <w:kern w:val="0"/>
                <w:szCs w:val="21"/>
              </w:rPr>
            </w:pPr>
            <w:r>
              <w:rPr>
                <w:rFonts w:hint="eastAsia" w:ascii="Times New Roman" w:hAnsi="Times New Roman" w:eastAsia="仿宋_GB2312"/>
                <w:color w:val="000000"/>
                <w:kern w:val="0"/>
                <w:szCs w:val="21"/>
                <w:lang w:val="en-US" w:eastAsia="zh-CN"/>
              </w:rPr>
              <w:t>理论</w:t>
            </w:r>
            <w:r>
              <w:rPr>
                <w:rFonts w:ascii="Times New Roman" w:hAnsi="Times New Roman" w:eastAsia="仿宋_GB2312"/>
                <w:color w:val="000000"/>
                <w:kern w:val="0"/>
                <w:szCs w:val="21"/>
              </w:rPr>
              <w:t>正式比赛</w:t>
            </w:r>
          </w:p>
        </w:tc>
        <w:tc>
          <w:tcPr>
            <w:tcW w:w="2127" w:type="dxa"/>
            <w:vAlign w:val="center"/>
          </w:tcPr>
          <w:p w14:paraId="3514FD91">
            <w:pPr>
              <w:contextualSpacing/>
              <w:jc w:val="center"/>
              <w:rPr>
                <w:rFonts w:ascii="Times New Roman" w:hAnsi="Times New Roman" w:eastAsia="仿宋_GB2312"/>
                <w:color w:val="000000"/>
                <w:szCs w:val="21"/>
              </w:rPr>
            </w:pPr>
            <w:r>
              <w:rPr>
                <w:rFonts w:ascii="Times New Roman" w:hAnsi="Times New Roman" w:eastAsia="仿宋_GB2312"/>
                <w:bCs/>
                <w:color w:val="000000"/>
                <w:kern w:val="0"/>
                <w:szCs w:val="21"/>
              </w:rPr>
              <w:t>参赛选手、现场裁判</w:t>
            </w:r>
          </w:p>
        </w:tc>
        <w:tc>
          <w:tcPr>
            <w:tcW w:w="1302" w:type="dxa"/>
            <w:vAlign w:val="center"/>
          </w:tcPr>
          <w:p w14:paraId="0A51AD1B">
            <w:pPr>
              <w:contextualSpacing/>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竞赛场地</w:t>
            </w:r>
          </w:p>
        </w:tc>
      </w:tr>
      <w:tr w14:paraId="4DEF0E46">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908" w:type="dxa"/>
            <w:vMerge w:val="continue"/>
            <w:vAlign w:val="center"/>
          </w:tcPr>
          <w:p w14:paraId="5E4FD6E3">
            <w:pPr>
              <w:contextualSpacing/>
              <w:jc w:val="center"/>
              <w:rPr>
                <w:rFonts w:ascii="Times New Roman" w:hAnsi="Times New Roman" w:eastAsia="仿宋_GB2312"/>
                <w:color w:val="000000"/>
                <w:szCs w:val="21"/>
              </w:rPr>
            </w:pPr>
          </w:p>
        </w:tc>
        <w:tc>
          <w:tcPr>
            <w:tcW w:w="1492" w:type="dxa"/>
            <w:vAlign w:val="center"/>
          </w:tcPr>
          <w:p w14:paraId="2458B936">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1</w:t>
            </w:r>
            <w:r>
              <w:rPr>
                <w:rFonts w:hint="eastAsia" w:ascii="Times New Roman" w:hAnsi="Times New Roman" w:eastAsia="仿宋_GB2312"/>
                <w:bCs/>
                <w:color w:val="000000"/>
                <w:kern w:val="0"/>
                <w:szCs w:val="21"/>
                <w:lang w:val="en-US" w:eastAsia="zh-CN"/>
              </w:rPr>
              <w:t>2</w:t>
            </w:r>
            <w:r>
              <w:rPr>
                <w:rFonts w:ascii="Times New Roman" w:hAnsi="Times New Roman" w:eastAsia="仿宋_GB2312"/>
                <w:bCs/>
                <w:color w:val="000000"/>
                <w:kern w:val="0"/>
                <w:szCs w:val="21"/>
              </w:rPr>
              <w:t>:00-1</w:t>
            </w:r>
            <w:r>
              <w:rPr>
                <w:rFonts w:hint="eastAsia" w:ascii="Times New Roman" w:hAnsi="Times New Roman" w:eastAsia="仿宋_GB2312"/>
                <w:bCs/>
                <w:color w:val="000000"/>
                <w:kern w:val="0"/>
                <w:szCs w:val="21"/>
                <w:lang w:val="en-US" w:eastAsia="zh-CN"/>
              </w:rPr>
              <w:t>2</w:t>
            </w:r>
            <w:r>
              <w:rPr>
                <w:rFonts w:ascii="Times New Roman" w:hAnsi="Times New Roman" w:eastAsia="仿宋_GB2312"/>
                <w:bCs/>
                <w:color w:val="000000"/>
                <w:kern w:val="0"/>
                <w:szCs w:val="21"/>
              </w:rPr>
              <w:t>:</w:t>
            </w:r>
            <w:r>
              <w:rPr>
                <w:rFonts w:hint="eastAsia" w:ascii="Times New Roman" w:hAnsi="Times New Roman" w:eastAsia="仿宋_GB2312"/>
                <w:bCs/>
                <w:color w:val="000000"/>
                <w:kern w:val="0"/>
                <w:szCs w:val="21"/>
                <w:lang w:val="en-US" w:eastAsia="zh-CN"/>
              </w:rPr>
              <w:t>1</w:t>
            </w:r>
            <w:r>
              <w:rPr>
                <w:rFonts w:ascii="Times New Roman" w:hAnsi="Times New Roman" w:eastAsia="仿宋_GB2312"/>
                <w:bCs/>
                <w:color w:val="000000"/>
                <w:kern w:val="0"/>
                <w:szCs w:val="21"/>
              </w:rPr>
              <w:t>0</w:t>
            </w:r>
          </w:p>
        </w:tc>
        <w:tc>
          <w:tcPr>
            <w:tcW w:w="2693" w:type="dxa"/>
            <w:vAlign w:val="center"/>
          </w:tcPr>
          <w:p w14:paraId="45CC6B4C">
            <w:pPr>
              <w:contextualSpacing/>
              <w:jc w:val="center"/>
              <w:rPr>
                <w:rFonts w:hint="default" w:ascii="Times New Roman" w:hAnsi="Times New Roman" w:eastAsia="仿宋_GB2312"/>
                <w:color w:val="000000"/>
                <w:kern w:val="0"/>
                <w:szCs w:val="21"/>
                <w:lang w:val="en-US" w:eastAsia="zh-CN"/>
              </w:rPr>
            </w:pPr>
            <w:r>
              <w:rPr>
                <w:rFonts w:hint="eastAsia" w:ascii="Times New Roman" w:hAnsi="Times New Roman" w:eastAsia="仿宋_GB2312"/>
                <w:color w:val="000000"/>
                <w:kern w:val="0"/>
                <w:szCs w:val="21"/>
                <w:lang w:val="en-US" w:eastAsia="zh-CN"/>
              </w:rPr>
              <w:t>比赛</w:t>
            </w:r>
            <w:r>
              <w:rPr>
                <w:rFonts w:ascii="Times New Roman" w:hAnsi="Times New Roman" w:eastAsia="仿宋_GB2312"/>
                <w:color w:val="000000"/>
                <w:kern w:val="0"/>
                <w:szCs w:val="21"/>
              </w:rPr>
              <w:t>结果提交</w:t>
            </w:r>
          </w:p>
        </w:tc>
        <w:tc>
          <w:tcPr>
            <w:tcW w:w="2127" w:type="dxa"/>
            <w:vAlign w:val="center"/>
          </w:tcPr>
          <w:p w14:paraId="0CC0DE35">
            <w:pPr>
              <w:contextualSpacing/>
              <w:jc w:val="center"/>
              <w:rPr>
                <w:rFonts w:ascii="Times New Roman" w:hAnsi="Times New Roman" w:eastAsia="仿宋_GB2312"/>
                <w:color w:val="000000"/>
                <w:szCs w:val="21"/>
              </w:rPr>
            </w:pPr>
            <w:r>
              <w:rPr>
                <w:rFonts w:ascii="Times New Roman" w:hAnsi="Times New Roman" w:eastAsia="仿宋_GB2312"/>
                <w:bCs/>
                <w:color w:val="000000"/>
                <w:kern w:val="0"/>
                <w:szCs w:val="21"/>
              </w:rPr>
              <w:t>参赛选手、现场裁判</w:t>
            </w:r>
          </w:p>
        </w:tc>
        <w:tc>
          <w:tcPr>
            <w:tcW w:w="1302" w:type="dxa"/>
            <w:vAlign w:val="center"/>
          </w:tcPr>
          <w:p w14:paraId="28BAE4FF">
            <w:pPr>
              <w:contextualSpacing/>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竞赛场地</w:t>
            </w:r>
          </w:p>
        </w:tc>
      </w:tr>
      <w:tr w14:paraId="4A4C994F">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08" w:type="dxa"/>
            <w:vMerge w:val="continue"/>
            <w:vAlign w:val="center"/>
          </w:tcPr>
          <w:p w14:paraId="4D151C5E">
            <w:pPr>
              <w:contextualSpacing/>
              <w:jc w:val="center"/>
              <w:rPr>
                <w:rFonts w:ascii="Times New Roman" w:hAnsi="Times New Roman" w:eastAsia="仿宋_GB2312"/>
                <w:color w:val="000000"/>
                <w:szCs w:val="21"/>
              </w:rPr>
            </w:pPr>
          </w:p>
        </w:tc>
        <w:tc>
          <w:tcPr>
            <w:tcW w:w="1492" w:type="dxa"/>
            <w:vAlign w:val="center"/>
          </w:tcPr>
          <w:p w14:paraId="0B90AF2A">
            <w:pPr>
              <w:contextualSpacing/>
              <w:jc w:val="center"/>
              <w:rPr>
                <w:rFonts w:hint="default" w:ascii="Times New Roman" w:hAnsi="Times New Roman" w:eastAsia="仿宋_GB2312"/>
                <w:bCs/>
                <w:color w:val="000000"/>
                <w:kern w:val="0"/>
                <w:szCs w:val="21"/>
                <w:lang w:val="en-US" w:eastAsia="zh-CN"/>
              </w:rPr>
            </w:pPr>
            <w:r>
              <w:rPr>
                <w:rFonts w:hint="eastAsia" w:ascii="Times New Roman" w:hAnsi="Times New Roman" w:eastAsia="仿宋_GB2312"/>
                <w:bCs/>
                <w:color w:val="000000"/>
                <w:kern w:val="0"/>
                <w:szCs w:val="21"/>
                <w:lang w:val="en-US" w:eastAsia="zh-CN"/>
              </w:rPr>
              <w:t>12:10-12:30</w:t>
            </w:r>
          </w:p>
        </w:tc>
        <w:tc>
          <w:tcPr>
            <w:tcW w:w="2693" w:type="dxa"/>
            <w:vAlign w:val="center"/>
          </w:tcPr>
          <w:p w14:paraId="10A1990C">
            <w:pPr>
              <w:contextualSpacing/>
              <w:jc w:val="center"/>
              <w:rPr>
                <w:rFonts w:hint="default" w:ascii="Times New Roman" w:hAnsi="Times New Roman" w:eastAsia="仿宋_GB2312"/>
                <w:color w:val="000000"/>
                <w:kern w:val="0"/>
                <w:szCs w:val="21"/>
                <w:lang w:val="en-US" w:eastAsia="zh-CN"/>
              </w:rPr>
            </w:pPr>
            <w:r>
              <w:rPr>
                <w:rFonts w:hint="eastAsia" w:ascii="Times New Roman" w:hAnsi="Times New Roman" w:eastAsia="仿宋_GB2312"/>
                <w:color w:val="000000"/>
                <w:kern w:val="0"/>
                <w:szCs w:val="21"/>
                <w:lang w:val="en-US" w:eastAsia="zh-CN"/>
              </w:rPr>
              <w:t>申诉受理</w:t>
            </w:r>
          </w:p>
        </w:tc>
        <w:tc>
          <w:tcPr>
            <w:tcW w:w="2127" w:type="dxa"/>
            <w:vAlign w:val="center"/>
          </w:tcPr>
          <w:p w14:paraId="25DCB425">
            <w:pPr>
              <w:contextualSpacing/>
              <w:jc w:val="center"/>
              <w:rPr>
                <w:rFonts w:ascii="Times New Roman" w:hAnsi="Times New Roman" w:eastAsia="仿宋_GB2312" w:cstheme="minorBidi"/>
                <w:bCs/>
                <w:color w:val="000000"/>
                <w:kern w:val="0"/>
                <w:sz w:val="21"/>
                <w:szCs w:val="21"/>
                <w:lang w:val="en-US" w:eastAsia="zh-CN" w:bidi="ar-SA"/>
              </w:rPr>
            </w:pPr>
            <w:r>
              <w:rPr>
                <w:rFonts w:ascii="Times New Roman" w:hAnsi="Times New Roman" w:eastAsia="仿宋_GB2312"/>
                <w:bCs/>
                <w:color w:val="000000"/>
                <w:kern w:val="0"/>
                <w:szCs w:val="21"/>
              </w:rPr>
              <w:t>参赛选手、现场裁判、监督仲裁员</w:t>
            </w:r>
          </w:p>
        </w:tc>
        <w:tc>
          <w:tcPr>
            <w:tcW w:w="1302" w:type="dxa"/>
            <w:vAlign w:val="center"/>
          </w:tcPr>
          <w:p w14:paraId="32CDB7D2">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监督</w:t>
            </w:r>
          </w:p>
          <w:p w14:paraId="264EBFCE">
            <w:pPr>
              <w:contextualSpacing/>
              <w:jc w:val="center"/>
              <w:rPr>
                <w:rFonts w:ascii="Times New Roman" w:hAnsi="Times New Roman" w:eastAsia="仿宋_GB2312" w:cstheme="minorBidi"/>
                <w:color w:val="000000"/>
                <w:kern w:val="2"/>
                <w:sz w:val="21"/>
                <w:szCs w:val="21"/>
                <w:shd w:val="clear" w:color="auto" w:fill="FFFFFF"/>
                <w:lang w:val="en-US" w:eastAsia="zh-CN" w:bidi="ar-SA"/>
              </w:rPr>
            </w:pPr>
            <w:r>
              <w:rPr>
                <w:rFonts w:ascii="Times New Roman" w:hAnsi="Times New Roman" w:eastAsia="仿宋_GB2312"/>
                <w:color w:val="000000"/>
                <w:szCs w:val="21"/>
                <w:shd w:val="clear" w:color="auto" w:fill="FFFFFF"/>
              </w:rPr>
              <w:t>仲裁室</w:t>
            </w:r>
          </w:p>
        </w:tc>
      </w:tr>
      <w:tr w14:paraId="5A06B822">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8" w:type="dxa"/>
            <w:vMerge w:val="continue"/>
            <w:vAlign w:val="center"/>
          </w:tcPr>
          <w:p w14:paraId="4D5DFED2">
            <w:pPr>
              <w:contextualSpacing/>
              <w:jc w:val="center"/>
              <w:rPr>
                <w:rFonts w:ascii="Times New Roman" w:hAnsi="Times New Roman" w:eastAsia="仿宋_GB2312"/>
                <w:color w:val="000000"/>
                <w:szCs w:val="21"/>
              </w:rPr>
            </w:pPr>
          </w:p>
        </w:tc>
        <w:tc>
          <w:tcPr>
            <w:tcW w:w="1492" w:type="dxa"/>
            <w:vAlign w:val="center"/>
          </w:tcPr>
          <w:p w14:paraId="4D902B1A">
            <w:pPr>
              <w:contextualSpacing/>
              <w:jc w:val="center"/>
              <w:rPr>
                <w:rFonts w:hint="default" w:ascii="Times New Roman" w:hAnsi="Times New Roman" w:eastAsia="仿宋_GB2312"/>
                <w:bCs/>
                <w:color w:val="000000"/>
                <w:kern w:val="0"/>
                <w:szCs w:val="21"/>
                <w:lang w:val="en-US" w:eastAsia="zh-CN"/>
              </w:rPr>
            </w:pPr>
            <w:r>
              <w:rPr>
                <w:rFonts w:hint="eastAsia" w:ascii="Times New Roman" w:hAnsi="Times New Roman" w:eastAsia="仿宋_GB2312"/>
                <w:bCs/>
                <w:color w:val="000000"/>
                <w:kern w:val="0"/>
                <w:szCs w:val="21"/>
                <w:lang w:val="en-US" w:eastAsia="zh-CN"/>
              </w:rPr>
              <w:t>12:40-13:50</w:t>
            </w:r>
          </w:p>
        </w:tc>
        <w:tc>
          <w:tcPr>
            <w:tcW w:w="2693" w:type="dxa"/>
            <w:vAlign w:val="center"/>
          </w:tcPr>
          <w:p w14:paraId="4C674FC9">
            <w:pPr>
              <w:contextualSpacing/>
              <w:jc w:val="center"/>
              <w:rPr>
                <w:rFonts w:hint="default" w:ascii="Times New Roman" w:hAnsi="Times New Roman" w:eastAsia="仿宋_GB2312"/>
                <w:color w:val="000000"/>
                <w:kern w:val="0"/>
                <w:szCs w:val="21"/>
                <w:lang w:val="en-US" w:eastAsia="zh-CN"/>
              </w:rPr>
            </w:pPr>
            <w:r>
              <w:rPr>
                <w:rFonts w:hint="eastAsia" w:ascii="Times New Roman" w:hAnsi="Times New Roman" w:eastAsia="仿宋_GB2312"/>
                <w:color w:val="000000"/>
                <w:kern w:val="0"/>
                <w:szCs w:val="21"/>
                <w:lang w:val="en-US" w:eastAsia="zh-CN"/>
              </w:rPr>
              <w:t>午餐</w:t>
            </w:r>
          </w:p>
        </w:tc>
        <w:tc>
          <w:tcPr>
            <w:tcW w:w="2127" w:type="dxa"/>
            <w:vAlign w:val="center"/>
          </w:tcPr>
          <w:p w14:paraId="7B98BD36">
            <w:pPr>
              <w:contextualSpacing/>
              <w:jc w:val="center"/>
              <w:rPr>
                <w:rFonts w:ascii="Times New Roman" w:hAnsi="Times New Roman" w:eastAsia="仿宋_GB2312"/>
                <w:color w:val="000000"/>
                <w:szCs w:val="21"/>
              </w:rPr>
            </w:pPr>
            <w:r>
              <w:rPr>
                <w:rFonts w:hint="eastAsia" w:ascii="Times New Roman" w:hAnsi="Times New Roman" w:eastAsia="仿宋_GB2312"/>
                <w:bCs/>
                <w:color w:val="000000"/>
                <w:kern w:val="0"/>
                <w:szCs w:val="21"/>
                <w:lang w:val="en-US" w:eastAsia="zh-CN"/>
              </w:rPr>
              <w:t>领导、嘉宾、裁判、各参赛队、专家组</w:t>
            </w:r>
          </w:p>
        </w:tc>
        <w:tc>
          <w:tcPr>
            <w:tcW w:w="1302" w:type="dxa"/>
            <w:vAlign w:val="center"/>
          </w:tcPr>
          <w:p w14:paraId="2D0AB72B">
            <w:pPr>
              <w:contextualSpacing/>
              <w:jc w:val="center"/>
              <w:rPr>
                <w:rFonts w:hint="default" w:ascii="Times New Roman" w:hAnsi="Times New Roman" w:eastAsia="仿宋_GB2312"/>
                <w:color w:val="000000"/>
                <w:szCs w:val="21"/>
                <w:lang w:val="en-US" w:eastAsia="zh-CN"/>
              </w:rPr>
            </w:pPr>
            <w:r>
              <w:rPr>
                <w:rFonts w:hint="eastAsia" w:ascii="Times New Roman" w:hAnsi="Times New Roman" w:eastAsia="仿宋_GB2312"/>
                <w:color w:val="000000"/>
                <w:szCs w:val="21"/>
                <w:shd w:val="clear" w:color="auto" w:fill="FFFFFF"/>
                <w:lang w:val="en-US" w:eastAsia="zh-CN"/>
              </w:rPr>
              <w:t>竞赛酒店</w:t>
            </w:r>
          </w:p>
        </w:tc>
      </w:tr>
      <w:tr w14:paraId="74167B09">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8" w:type="dxa"/>
            <w:vMerge w:val="continue"/>
            <w:vAlign w:val="center"/>
          </w:tcPr>
          <w:p w14:paraId="6C61C4EC">
            <w:pPr>
              <w:contextualSpacing/>
              <w:jc w:val="center"/>
              <w:rPr>
                <w:rFonts w:ascii="Times New Roman" w:hAnsi="Times New Roman" w:eastAsia="仿宋_GB2312"/>
                <w:color w:val="000000"/>
                <w:szCs w:val="21"/>
              </w:rPr>
            </w:pPr>
          </w:p>
        </w:tc>
        <w:tc>
          <w:tcPr>
            <w:tcW w:w="1492" w:type="dxa"/>
            <w:vAlign w:val="center"/>
          </w:tcPr>
          <w:p w14:paraId="7A767048">
            <w:pPr>
              <w:contextualSpacing/>
              <w:jc w:val="center"/>
              <w:rPr>
                <w:rFonts w:hint="default" w:ascii="Times New Roman" w:hAnsi="Times New Roman" w:eastAsia="仿宋_GB2312"/>
                <w:bCs/>
                <w:color w:val="000000"/>
                <w:kern w:val="0"/>
                <w:szCs w:val="21"/>
                <w:lang w:val="en-US" w:eastAsia="zh-CN"/>
              </w:rPr>
            </w:pPr>
            <w:r>
              <w:rPr>
                <w:rFonts w:hint="eastAsia" w:ascii="Times New Roman" w:hAnsi="Times New Roman" w:eastAsia="仿宋_GB2312"/>
                <w:bCs/>
                <w:color w:val="000000"/>
                <w:kern w:val="0"/>
                <w:szCs w:val="21"/>
                <w:lang w:val="en-US" w:eastAsia="zh-CN"/>
              </w:rPr>
              <w:t>14:00-14:30</w:t>
            </w:r>
          </w:p>
        </w:tc>
        <w:tc>
          <w:tcPr>
            <w:tcW w:w="2693" w:type="dxa"/>
            <w:vAlign w:val="center"/>
          </w:tcPr>
          <w:p w14:paraId="048B5D52">
            <w:pPr>
              <w:contextualSpacing/>
              <w:jc w:val="center"/>
              <w:rPr>
                <w:rFonts w:hint="eastAsia" w:ascii="Times New Roman" w:hAnsi="Times New Roman" w:eastAsia="仿宋_GB2312"/>
                <w:color w:val="000000"/>
                <w:kern w:val="0"/>
                <w:szCs w:val="21"/>
                <w:lang w:val="en-US" w:eastAsia="zh-CN"/>
              </w:rPr>
            </w:pPr>
            <w:r>
              <w:rPr>
                <w:rFonts w:hint="eastAsia" w:ascii="Times New Roman" w:hAnsi="Times New Roman" w:eastAsia="仿宋_GB2312"/>
                <w:color w:val="000000"/>
                <w:kern w:val="0"/>
                <w:szCs w:val="21"/>
                <w:lang w:val="en-US" w:eastAsia="zh-CN"/>
              </w:rPr>
              <w:t>参赛选手入场；</w:t>
            </w:r>
          </w:p>
          <w:p w14:paraId="11467B69">
            <w:pPr>
              <w:contextualSpacing/>
              <w:jc w:val="center"/>
              <w:rPr>
                <w:rFonts w:hint="default" w:ascii="Times New Roman" w:hAnsi="Times New Roman" w:eastAsia="仿宋_GB2312"/>
                <w:color w:val="000000"/>
                <w:kern w:val="0"/>
                <w:szCs w:val="21"/>
                <w:lang w:val="en-US" w:eastAsia="zh-CN"/>
              </w:rPr>
            </w:pPr>
            <w:r>
              <w:rPr>
                <w:rFonts w:hint="eastAsia" w:ascii="Times New Roman" w:hAnsi="Times New Roman" w:eastAsia="仿宋_GB2312"/>
                <w:color w:val="000000"/>
                <w:kern w:val="0"/>
                <w:szCs w:val="21"/>
                <w:lang w:val="en-US" w:eastAsia="zh-CN"/>
              </w:rPr>
              <w:t>发放实操赛题</w:t>
            </w:r>
          </w:p>
        </w:tc>
        <w:tc>
          <w:tcPr>
            <w:tcW w:w="2127" w:type="dxa"/>
            <w:vAlign w:val="center"/>
          </w:tcPr>
          <w:p w14:paraId="18FA9682">
            <w:pPr>
              <w:contextualSpacing/>
              <w:jc w:val="center"/>
              <w:rPr>
                <w:rFonts w:ascii="Times New Roman" w:hAnsi="Times New Roman" w:eastAsia="仿宋_GB2312"/>
                <w:color w:val="000000"/>
                <w:szCs w:val="21"/>
              </w:rPr>
            </w:pPr>
            <w:r>
              <w:rPr>
                <w:rFonts w:ascii="Times New Roman" w:hAnsi="Times New Roman" w:eastAsia="仿宋_GB2312"/>
                <w:bCs/>
                <w:color w:val="000000"/>
                <w:kern w:val="0"/>
                <w:szCs w:val="21"/>
              </w:rPr>
              <w:t>参赛选手、现场裁判</w:t>
            </w:r>
          </w:p>
        </w:tc>
        <w:tc>
          <w:tcPr>
            <w:tcW w:w="1302" w:type="dxa"/>
            <w:vAlign w:val="center"/>
          </w:tcPr>
          <w:p w14:paraId="7639FFA2">
            <w:pPr>
              <w:contextualSpacing/>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竞赛场地</w:t>
            </w:r>
          </w:p>
        </w:tc>
      </w:tr>
      <w:tr w14:paraId="0971336A">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08" w:type="dxa"/>
            <w:vMerge w:val="continue"/>
            <w:vAlign w:val="center"/>
          </w:tcPr>
          <w:p w14:paraId="6B58C743">
            <w:pPr>
              <w:contextualSpacing/>
              <w:jc w:val="center"/>
              <w:rPr>
                <w:rFonts w:ascii="Times New Roman" w:hAnsi="Times New Roman" w:eastAsia="仿宋_GB2312"/>
                <w:color w:val="000000"/>
                <w:szCs w:val="21"/>
              </w:rPr>
            </w:pPr>
          </w:p>
        </w:tc>
        <w:tc>
          <w:tcPr>
            <w:tcW w:w="1492" w:type="dxa"/>
            <w:vAlign w:val="center"/>
          </w:tcPr>
          <w:p w14:paraId="71ED3CE6">
            <w:pPr>
              <w:contextualSpacing/>
              <w:jc w:val="center"/>
              <w:rPr>
                <w:rFonts w:hint="default" w:ascii="Times New Roman" w:hAnsi="Times New Roman" w:eastAsia="仿宋_GB2312"/>
                <w:bCs/>
                <w:color w:val="000000"/>
                <w:kern w:val="0"/>
                <w:szCs w:val="21"/>
                <w:lang w:val="en-US" w:eastAsia="zh-CN"/>
              </w:rPr>
            </w:pPr>
            <w:r>
              <w:rPr>
                <w:rFonts w:hint="eastAsia" w:ascii="Times New Roman" w:hAnsi="Times New Roman" w:eastAsia="仿宋_GB2312"/>
                <w:bCs/>
                <w:color w:val="000000"/>
                <w:kern w:val="0"/>
                <w:szCs w:val="21"/>
                <w:lang w:val="en-US" w:eastAsia="zh-CN"/>
              </w:rPr>
              <w:t>14:40-18:40</w:t>
            </w:r>
          </w:p>
        </w:tc>
        <w:tc>
          <w:tcPr>
            <w:tcW w:w="2693" w:type="dxa"/>
            <w:vAlign w:val="center"/>
          </w:tcPr>
          <w:p w14:paraId="0380D7A2">
            <w:pPr>
              <w:contextualSpacing/>
              <w:jc w:val="center"/>
              <w:rPr>
                <w:rFonts w:hint="default" w:ascii="Times New Roman" w:hAnsi="Times New Roman" w:eastAsia="仿宋_GB2312"/>
                <w:color w:val="000000"/>
                <w:kern w:val="0"/>
                <w:szCs w:val="21"/>
                <w:lang w:val="en-US" w:eastAsia="zh-CN"/>
              </w:rPr>
            </w:pPr>
            <w:r>
              <w:rPr>
                <w:rFonts w:hint="eastAsia" w:ascii="Times New Roman" w:hAnsi="Times New Roman" w:eastAsia="仿宋_GB2312"/>
                <w:color w:val="000000"/>
                <w:kern w:val="0"/>
                <w:szCs w:val="21"/>
                <w:lang w:val="en-US" w:eastAsia="zh-CN"/>
              </w:rPr>
              <w:t>实操正式比赛</w:t>
            </w:r>
          </w:p>
        </w:tc>
        <w:tc>
          <w:tcPr>
            <w:tcW w:w="2127" w:type="dxa"/>
            <w:vAlign w:val="center"/>
          </w:tcPr>
          <w:p w14:paraId="1BC6BC56">
            <w:pPr>
              <w:contextualSpacing/>
              <w:jc w:val="center"/>
              <w:rPr>
                <w:rFonts w:ascii="Times New Roman" w:hAnsi="Times New Roman" w:eastAsia="仿宋_GB2312"/>
                <w:color w:val="000000"/>
                <w:szCs w:val="21"/>
              </w:rPr>
            </w:pPr>
            <w:r>
              <w:rPr>
                <w:rFonts w:ascii="Times New Roman" w:hAnsi="Times New Roman" w:eastAsia="仿宋_GB2312"/>
                <w:bCs/>
                <w:color w:val="000000"/>
                <w:kern w:val="0"/>
                <w:szCs w:val="21"/>
              </w:rPr>
              <w:t>参赛选手、现场裁判</w:t>
            </w:r>
          </w:p>
        </w:tc>
        <w:tc>
          <w:tcPr>
            <w:tcW w:w="1302" w:type="dxa"/>
            <w:vAlign w:val="center"/>
          </w:tcPr>
          <w:p w14:paraId="0B7C10C1">
            <w:pPr>
              <w:contextualSpacing/>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竞赛场地</w:t>
            </w:r>
          </w:p>
        </w:tc>
      </w:tr>
      <w:tr w14:paraId="4A7A7DC7">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08" w:type="dxa"/>
            <w:vMerge w:val="continue"/>
            <w:vAlign w:val="center"/>
          </w:tcPr>
          <w:p w14:paraId="471A50CD">
            <w:pPr>
              <w:contextualSpacing/>
              <w:jc w:val="center"/>
              <w:rPr>
                <w:rFonts w:ascii="Times New Roman" w:hAnsi="Times New Roman" w:eastAsia="仿宋_GB2312"/>
                <w:color w:val="000000"/>
                <w:szCs w:val="21"/>
              </w:rPr>
            </w:pPr>
          </w:p>
        </w:tc>
        <w:tc>
          <w:tcPr>
            <w:tcW w:w="1492" w:type="dxa"/>
            <w:vAlign w:val="center"/>
          </w:tcPr>
          <w:p w14:paraId="16116007">
            <w:pPr>
              <w:contextualSpacing/>
              <w:jc w:val="center"/>
              <w:rPr>
                <w:rFonts w:hint="default" w:ascii="Times New Roman" w:hAnsi="Times New Roman" w:eastAsia="仿宋_GB2312"/>
                <w:bCs/>
                <w:color w:val="000000"/>
                <w:kern w:val="0"/>
                <w:szCs w:val="21"/>
                <w:lang w:val="en-US" w:eastAsia="zh-CN"/>
              </w:rPr>
            </w:pPr>
            <w:r>
              <w:rPr>
                <w:rFonts w:hint="eastAsia" w:ascii="Times New Roman" w:hAnsi="Times New Roman" w:eastAsia="仿宋_GB2312"/>
                <w:bCs/>
                <w:color w:val="000000"/>
                <w:kern w:val="0"/>
                <w:szCs w:val="21"/>
                <w:lang w:val="en-US" w:eastAsia="zh-CN"/>
              </w:rPr>
              <w:t>18:40-18:50</w:t>
            </w:r>
          </w:p>
        </w:tc>
        <w:tc>
          <w:tcPr>
            <w:tcW w:w="2693" w:type="dxa"/>
            <w:vAlign w:val="center"/>
          </w:tcPr>
          <w:p w14:paraId="3F99BEC0">
            <w:pPr>
              <w:contextualSpacing/>
              <w:jc w:val="center"/>
              <w:rPr>
                <w:rFonts w:hint="default" w:ascii="Times New Roman" w:hAnsi="Times New Roman" w:eastAsia="仿宋_GB2312"/>
                <w:color w:val="000000"/>
                <w:kern w:val="0"/>
                <w:szCs w:val="21"/>
                <w:lang w:val="en-US" w:eastAsia="zh-CN"/>
              </w:rPr>
            </w:pPr>
            <w:r>
              <w:rPr>
                <w:rFonts w:hint="eastAsia" w:ascii="Times New Roman" w:hAnsi="Times New Roman" w:eastAsia="仿宋_GB2312"/>
                <w:color w:val="000000"/>
                <w:kern w:val="0"/>
                <w:szCs w:val="21"/>
                <w:lang w:val="en-US" w:eastAsia="zh-CN"/>
              </w:rPr>
              <w:t>比赛结果提交</w:t>
            </w:r>
          </w:p>
        </w:tc>
        <w:tc>
          <w:tcPr>
            <w:tcW w:w="2127" w:type="dxa"/>
            <w:vAlign w:val="center"/>
          </w:tcPr>
          <w:p w14:paraId="6FCACF63">
            <w:pPr>
              <w:contextualSpacing/>
              <w:jc w:val="center"/>
              <w:rPr>
                <w:rFonts w:ascii="Times New Roman" w:hAnsi="Times New Roman" w:eastAsia="仿宋_GB2312"/>
                <w:color w:val="000000"/>
                <w:szCs w:val="21"/>
              </w:rPr>
            </w:pPr>
            <w:r>
              <w:rPr>
                <w:rFonts w:ascii="Times New Roman" w:hAnsi="Times New Roman" w:eastAsia="仿宋_GB2312"/>
                <w:bCs/>
                <w:color w:val="000000"/>
                <w:kern w:val="0"/>
                <w:szCs w:val="21"/>
              </w:rPr>
              <w:t>参赛选手、现场裁判</w:t>
            </w:r>
          </w:p>
        </w:tc>
        <w:tc>
          <w:tcPr>
            <w:tcW w:w="1302" w:type="dxa"/>
            <w:vAlign w:val="center"/>
          </w:tcPr>
          <w:p w14:paraId="79A6E547">
            <w:pPr>
              <w:contextualSpacing/>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竞赛场地</w:t>
            </w:r>
          </w:p>
        </w:tc>
      </w:tr>
      <w:tr w14:paraId="39951AD6">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8" w:type="dxa"/>
            <w:vMerge w:val="continue"/>
            <w:vAlign w:val="center"/>
          </w:tcPr>
          <w:p w14:paraId="528512B4">
            <w:pPr>
              <w:contextualSpacing/>
              <w:jc w:val="center"/>
              <w:rPr>
                <w:rFonts w:ascii="Times New Roman" w:hAnsi="Times New Roman" w:eastAsia="仿宋_GB2312"/>
                <w:color w:val="000000"/>
                <w:szCs w:val="21"/>
              </w:rPr>
            </w:pPr>
          </w:p>
        </w:tc>
        <w:tc>
          <w:tcPr>
            <w:tcW w:w="1492" w:type="dxa"/>
            <w:vAlign w:val="center"/>
          </w:tcPr>
          <w:p w14:paraId="26702893">
            <w:pPr>
              <w:contextualSpacing/>
              <w:jc w:val="center"/>
              <w:rPr>
                <w:rFonts w:hint="default" w:ascii="Times New Roman" w:hAnsi="Times New Roman" w:eastAsia="仿宋_GB2312"/>
                <w:bCs/>
                <w:color w:val="000000"/>
                <w:kern w:val="0"/>
                <w:szCs w:val="21"/>
                <w:lang w:val="en-US" w:eastAsia="zh-CN"/>
              </w:rPr>
            </w:pPr>
            <w:r>
              <w:rPr>
                <w:rFonts w:hint="eastAsia" w:ascii="Times New Roman" w:hAnsi="Times New Roman" w:eastAsia="仿宋_GB2312"/>
                <w:bCs/>
                <w:color w:val="000000"/>
                <w:kern w:val="0"/>
                <w:szCs w:val="21"/>
                <w:lang w:val="en-US" w:eastAsia="zh-CN"/>
              </w:rPr>
              <w:t>19:00-20:00</w:t>
            </w:r>
          </w:p>
        </w:tc>
        <w:tc>
          <w:tcPr>
            <w:tcW w:w="2693" w:type="dxa"/>
            <w:vAlign w:val="center"/>
          </w:tcPr>
          <w:p w14:paraId="05BCED25">
            <w:pPr>
              <w:contextualSpacing/>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申诉受理</w:t>
            </w:r>
          </w:p>
        </w:tc>
        <w:tc>
          <w:tcPr>
            <w:tcW w:w="2127" w:type="dxa"/>
            <w:vAlign w:val="center"/>
          </w:tcPr>
          <w:p w14:paraId="591EC6FD">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参赛选手、现场裁判、监督仲裁员</w:t>
            </w:r>
          </w:p>
        </w:tc>
        <w:tc>
          <w:tcPr>
            <w:tcW w:w="1302" w:type="dxa"/>
            <w:vAlign w:val="center"/>
          </w:tcPr>
          <w:p w14:paraId="6EE2A5F5">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监督</w:t>
            </w:r>
          </w:p>
          <w:p w14:paraId="50C8A2DA">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仲裁室</w:t>
            </w:r>
          </w:p>
        </w:tc>
      </w:tr>
      <w:tr w14:paraId="6B8E69C9">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8" w:type="dxa"/>
            <w:vAlign w:val="center"/>
          </w:tcPr>
          <w:p w14:paraId="25632655">
            <w:pPr>
              <w:contextualSpacing/>
              <w:jc w:val="center"/>
              <w:rPr>
                <w:rFonts w:ascii="Times New Roman" w:hAnsi="Times New Roman" w:eastAsia="仿宋_GB2312"/>
                <w:color w:val="000000"/>
                <w:szCs w:val="21"/>
              </w:rPr>
            </w:pPr>
          </w:p>
        </w:tc>
        <w:tc>
          <w:tcPr>
            <w:tcW w:w="1492" w:type="dxa"/>
            <w:vAlign w:val="center"/>
          </w:tcPr>
          <w:p w14:paraId="4D8EA270">
            <w:pPr>
              <w:contextualSpacing/>
              <w:jc w:val="center"/>
              <w:rPr>
                <w:rFonts w:hint="default" w:ascii="Times New Roman" w:hAnsi="Times New Roman" w:eastAsia="仿宋_GB2312"/>
                <w:bCs/>
                <w:color w:val="000000"/>
                <w:kern w:val="0"/>
                <w:szCs w:val="21"/>
                <w:lang w:val="en-US" w:eastAsia="zh-CN"/>
              </w:rPr>
            </w:pPr>
            <w:r>
              <w:rPr>
                <w:rFonts w:hint="eastAsia" w:ascii="Times New Roman" w:hAnsi="Times New Roman" w:eastAsia="仿宋_GB2312"/>
                <w:bCs/>
                <w:color w:val="000000"/>
                <w:kern w:val="0"/>
                <w:szCs w:val="21"/>
                <w:lang w:val="en-US" w:eastAsia="zh-CN"/>
              </w:rPr>
              <w:t>19:00-21:00</w:t>
            </w:r>
          </w:p>
        </w:tc>
        <w:tc>
          <w:tcPr>
            <w:tcW w:w="2693" w:type="dxa"/>
            <w:vAlign w:val="center"/>
          </w:tcPr>
          <w:p w14:paraId="6BE96B51">
            <w:pPr>
              <w:contextualSpacing/>
              <w:jc w:val="center"/>
              <w:rPr>
                <w:rFonts w:hint="default" w:ascii="Times New Roman" w:hAnsi="Times New Roman" w:eastAsia="仿宋_GB2312"/>
                <w:bCs/>
                <w:color w:val="000000"/>
                <w:kern w:val="0"/>
                <w:szCs w:val="21"/>
                <w:lang w:val="en-US" w:eastAsia="zh-CN"/>
              </w:rPr>
            </w:pPr>
            <w:r>
              <w:rPr>
                <w:rFonts w:ascii="Times New Roman" w:hAnsi="Times New Roman" w:eastAsia="仿宋_GB2312"/>
                <w:color w:val="000000"/>
                <w:kern w:val="0"/>
                <w:szCs w:val="21"/>
              </w:rPr>
              <w:t>评分核分</w:t>
            </w:r>
          </w:p>
        </w:tc>
        <w:tc>
          <w:tcPr>
            <w:tcW w:w="2127" w:type="dxa"/>
            <w:vAlign w:val="center"/>
          </w:tcPr>
          <w:p w14:paraId="037D6D06">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评分裁判、裁判长、监督仲裁</w:t>
            </w:r>
          </w:p>
        </w:tc>
        <w:tc>
          <w:tcPr>
            <w:tcW w:w="1302" w:type="dxa"/>
            <w:vAlign w:val="center"/>
          </w:tcPr>
          <w:p w14:paraId="3A8A45A6">
            <w:pPr>
              <w:contextualSpacing/>
              <w:jc w:val="center"/>
              <w:rPr>
                <w:rFonts w:hint="default" w:ascii="Times New Roman" w:hAnsi="Times New Roman" w:eastAsia="仿宋_GB2312"/>
                <w:color w:val="000000"/>
                <w:szCs w:val="21"/>
                <w:shd w:val="clear" w:color="auto" w:fill="FFFFFF"/>
                <w:lang w:val="en-US" w:eastAsia="zh-CN"/>
              </w:rPr>
            </w:pPr>
            <w:r>
              <w:rPr>
                <w:rFonts w:hint="eastAsia" w:ascii="Times New Roman" w:hAnsi="Times New Roman" w:eastAsia="仿宋_GB2312"/>
                <w:color w:val="000000"/>
                <w:szCs w:val="21"/>
                <w:shd w:val="clear" w:color="auto" w:fill="FFFFFF"/>
                <w:lang w:val="en-US" w:eastAsia="zh-CN"/>
              </w:rPr>
              <w:t>裁判评分室</w:t>
            </w:r>
          </w:p>
        </w:tc>
      </w:tr>
      <w:tr w14:paraId="16297CEE">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8" w:type="dxa"/>
            <w:vAlign w:val="center"/>
          </w:tcPr>
          <w:p w14:paraId="306DC2D0">
            <w:pPr>
              <w:contextualSpacing/>
              <w:jc w:val="center"/>
              <w:rPr>
                <w:rFonts w:ascii="Times New Roman" w:hAnsi="Times New Roman" w:eastAsia="仿宋_GB2312"/>
                <w:color w:val="000000"/>
                <w:szCs w:val="21"/>
              </w:rPr>
            </w:pPr>
          </w:p>
        </w:tc>
        <w:tc>
          <w:tcPr>
            <w:tcW w:w="1492" w:type="dxa"/>
            <w:vAlign w:val="center"/>
          </w:tcPr>
          <w:p w14:paraId="134999DA">
            <w:pPr>
              <w:contextualSpacing/>
              <w:jc w:val="center"/>
              <w:rPr>
                <w:rFonts w:hint="default" w:ascii="Times New Roman" w:hAnsi="Times New Roman" w:eastAsia="仿宋_GB2312"/>
                <w:bCs/>
                <w:color w:val="000000"/>
                <w:kern w:val="0"/>
                <w:szCs w:val="21"/>
                <w:lang w:val="en-US" w:eastAsia="zh-CN"/>
              </w:rPr>
            </w:pPr>
            <w:r>
              <w:rPr>
                <w:rFonts w:hint="eastAsia" w:ascii="Times New Roman" w:hAnsi="Times New Roman" w:eastAsia="仿宋_GB2312"/>
                <w:bCs/>
                <w:color w:val="000000"/>
                <w:kern w:val="0"/>
                <w:szCs w:val="21"/>
                <w:lang w:val="en-US" w:eastAsia="zh-CN"/>
              </w:rPr>
              <w:t>21:00-21:30</w:t>
            </w:r>
          </w:p>
        </w:tc>
        <w:tc>
          <w:tcPr>
            <w:tcW w:w="2693" w:type="dxa"/>
            <w:vAlign w:val="center"/>
          </w:tcPr>
          <w:p w14:paraId="0516745E">
            <w:pPr>
              <w:contextualSpacing/>
              <w:jc w:val="center"/>
              <w:rPr>
                <w:rFonts w:hint="default" w:ascii="Times New Roman" w:hAnsi="Times New Roman" w:eastAsia="仿宋_GB2312"/>
                <w:color w:val="000000"/>
                <w:kern w:val="0"/>
                <w:szCs w:val="21"/>
                <w:lang w:val="en-US" w:eastAsia="zh-CN"/>
              </w:rPr>
            </w:pPr>
            <w:r>
              <w:rPr>
                <w:rFonts w:hint="eastAsia" w:ascii="Times New Roman" w:hAnsi="Times New Roman" w:eastAsia="仿宋_GB2312"/>
                <w:color w:val="000000"/>
                <w:kern w:val="0"/>
                <w:szCs w:val="21"/>
                <w:lang w:val="en-US" w:eastAsia="zh-CN"/>
              </w:rPr>
              <w:t>解密</w:t>
            </w:r>
          </w:p>
        </w:tc>
        <w:tc>
          <w:tcPr>
            <w:tcW w:w="2127" w:type="dxa"/>
            <w:vAlign w:val="center"/>
          </w:tcPr>
          <w:p w14:paraId="6C335736">
            <w:pPr>
              <w:contextualSpacing/>
              <w:jc w:val="center"/>
              <w:rPr>
                <w:rFonts w:ascii="Times New Roman" w:hAnsi="Times New Roman" w:eastAsia="仿宋_GB2312"/>
                <w:bCs/>
                <w:color w:val="000000"/>
                <w:kern w:val="0"/>
                <w:szCs w:val="21"/>
              </w:rPr>
            </w:pPr>
            <w:r>
              <w:rPr>
                <w:rFonts w:hint="eastAsia" w:ascii="Times New Roman" w:hAnsi="Times New Roman" w:eastAsia="仿宋_GB2312"/>
                <w:bCs/>
                <w:color w:val="000000"/>
                <w:kern w:val="0"/>
                <w:szCs w:val="21"/>
                <w:lang w:val="en-US" w:eastAsia="zh-CN"/>
              </w:rPr>
              <w:t>裁判长</w:t>
            </w:r>
            <w:r>
              <w:rPr>
                <w:rFonts w:ascii="Times New Roman" w:hAnsi="Times New Roman" w:eastAsia="仿宋_GB2312"/>
                <w:bCs/>
                <w:color w:val="000000"/>
                <w:kern w:val="0"/>
                <w:szCs w:val="21"/>
              </w:rPr>
              <w:t>、</w:t>
            </w:r>
            <w:r>
              <w:rPr>
                <w:rFonts w:hint="eastAsia" w:ascii="Times New Roman" w:hAnsi="Times New Roman" w:eastAsia="仿宋_GB2312"/>
                <w:bCs/>
                <w:color w:val="000000"/>
                <w:kern w:val="0"/>
                <w:szCs w:val="21"/>
                <w:lang w:val="en-US" w:eastAsia="zh-CN"/>
              </w:rPr>
              <w:t>加密裁判</w:t>
            </w:r>
            <w:r>
              <w:rPr>
                <w:rFonts w:ascii="Times New Roman" w:hAnsi="Times New Roman" w:eastAsia="仿宋_GB2312"/>
                <w:bCs/>
                <w:color w:val="000000"/>
                <w:kern w:val="0"/>
                <w:szCs w:val="21"/>
              </w:rPr>
              <w:t>、监督仲裁</w:t>
            </w:r>
          </w:p>
        </w:tc>
        <w:tc>
          <w:tcPr>
            <w:tcW w:w="1302" w:type="dxa"/>
            <w:vAlign w:val="center"/>
          </w:tcPr>
          <w:p w14:paraId="4083B88B">
            <w:pPr>
              <w:contextualSpacing/>
              <w:jc w:val="center"/>
              <w:rPr>
                <w:rFonts w:ascii="Times New Roman" w:hAnsi="Times New Roman" w:eastAsia="仿宋_GB2312"/>
                <w:bCs/>
                <w:color w:val="000000"/>
                <w:kern w:val="0"/>
                <w:szCs w:val="21"/>
              </w:rPr>
            </w:pPr>
            <w:r>
              <w:rPr>
                <w:rFonts w:hint="eastAsia" w:ascii="Times New Roman" w:hAnsi="Times New Roman" w:eastAsia="仿宋_GB2312"/>
                <w:color w:val="000000"/>
                <w:szCs w:val="21"/>
                <w:shd w:val="clear" w:color="auto" w:fill="FFFFFF"/>
                <w:lang w:val="en-US" w:eastAsia="zh-CN"/>
              </w:rPr>
              <w:t>裁判评分室</w:t>
            </w:r>
          </w:p>
        </w:tc>
      </w:tr>
      <w:tr w14:paraId="55FE0183">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8" w:type="dxa"/>
            <w:vAlign w:val="center"/>
          </w:tcPr>
          <w:p w14:paraId="30C9F548">
            <w:pPr>
              <w:contextualSpacing/>
              <w:jc w:val="center"/>
              <w:rPr>
                <w:rFonts w:ascii="Times New Roman" w:hAnsi="Times New Roman" w:eastAsia="仿宋_GB2312"/>
                <w:color w:val="000000"/>
                <w:szCs w:val="21"/>
              </w:rPr>
            </w:pPr>
          </w:p>
        </w:tc>
        <w:tc>
          <w:tcPr>
            <w:tcW w:w="1492" w:type="dxa"/>
            <w:vAlign w:val="center"/>
          </w:tcPr>
          <w:p w14:paraId="2B986AAC">
            <w:pPr>
              <w:contextualSpacing/>
              <w:jc w:val="center"/>
              <w:rPr>
                <w:rFonts w:hint="default" w:ascii="Times New Roman" w:hAnsi="Times New Roman" w:eastAsia="仿宋_GB2312"/>
                <w:bCs/>
                <w:color w:val="000000"/>
                <w:kern w:val="0"/>
                <w:szCs w:val="21"/>
                <w:lang w:val="en-US" w:eastAsia="zh-CN"/>
              </w:rPr>
            </w:pPr>
            <w:r>
              <w:rPr>
                <w:rFonts w:hint="eastAsia" w:ascii="Times New Roman" w:hAnsi="Times New Roman" w:eastAsia="仿宋_GB2312"/>
                <w:bCs/>
                <w:color w:val="000000"/>
                <w:kern w:val="0"/>
                <w:szCs w:val="21"/>
                <w:lang w:val="en-US" w:eastAsia="zh-CN"/>
              </w:rPr>
              <w:t>21:30-22:30</w:t>
            </w:r>
          </w:p>
        </w:tc>
        <w:tc>
          <w:tcPr>
            <w:tcW w:w="2693" w:type="dxa"/>
            <w:vAlign w:val="center"/>
          </w:tcPr>
          <w:p w14:paraId="4A7B565F">
            <w:pPr>
              <w:contextualSpacing/>
              <w:jc w:val="center"/>
              <w:rPr>
                <w:rFonts w:hint="default" w:ascii="Times New Roman" w:hAnsi="Times New Roman" w:eastAsia="仿宋_GB2312"/>
                <w:color w:val="000000"/>
                <w:kern w:val="0"/>
                <w:szCs w:val="21"/>
                <w:lang w:val="en-US" w:eastAsia="zh-CN"/>
              </w:rPr>
            </w:pPr>
            <w:r>
              <w:rPr>
                <w:rFonts w:hint="eastAsia" w:ascii="Times New Roman" w:hAnsi="Times New Roman" w:eastAsia="仿宋_GB2312"/>
                <w:color w:val="000000"/>
                <w:kern w:val="0"/>
                <w:szCs w:val="21"/>
                <w:lang w:val="en-US" w:eastAsia="zh-CN"/>
              </w:rPr>
              <w:t>成绩汇总报送，成绩公布</w:t>
            </w:r>
          </w:p>
        </w:tc>
        <w:tc>
          <w:tcPr>
            <w:tcW w:w="2127" w:type="dxa"/>
            <w:vAlign w:val="center"/>
          </w:tcPr>
          <w:p w14:paraId="7087DCE3">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评分裁判、裁判长、</w:t>
            </w:r>
            <w:r>
              <w:rPr>
                <w:rFonts w:hint="eastAsia" w:ascii="Times New Roman" w:hAnsi="Times New Roman" w:eastAsia="仿宋_GB2312"/>
                <w:bCs/>
                <w:color w:val="000000"/>
                <w:kern w:val="0"/>
                <w:szCs w:val="21"/>
                <w:lang w:val="en-US" w:eastAsia="zh-CN"/>
              </w:rPr>
              <w:t>专家、</w:t>
            </w:r>
            <w:r>
              <w:rPr>
                <w:rFonts w:ascii="Times New Roman" w:hAnsi="Times New Roman" w:eastAsia="仿宋_GB2312"/>
                <w:bCs/>
                <w:color w:val="000000"/>
                <w:kern w:val="0"/>
                <w:szCs w:val="21"/>
              </w:rPr>
              <w:t>监督仲裁</w:t>
            </w:r>
          </w:p>
        </w:tc>
        <w:tc>
          <w:tcPr>
            <w:tcW w:w="1302" w:type="dxa"/>
            <w:vAlign w:val="center"/>
          </w:tcPr>
          <w:p w14:paraId="2444040A">
            <w:pPr>
              <w:contextualSpacing/>
              <w:jc w:val="center"/>
              <w:rPr>
                <w:rFonts w:ascii="Times New Roman" w:hAnsi="Times New Roman" w:eastAsia="仿宋_GB2312"/>
                <w:bCs/>
                <w:color w:val="000000"/>
                <w:kern w:val="0"/>
                <w:szCs w:val="21"/>
              </w:rPr>
            </w:pPr>
            <w:r>
              <w:rPr>
                <w:rFonts w:hint="eastAsia" w:ascii="Times New Roman" w:hAnsi="Times New Roman" w:eastAsia="仿宋_GB2312"/>
                <w:color w:val="000000"/>
                <w:szCs w:val="21"/>
                <w:shd w:val="clear" w:color="auto" w:fill="FFFFFF"/>
                <w:lang w:val="en-US" w:eastAsia="zh-CN"/>
              </w:rPr>
              <w:t>裁判评分室</w:t>
            </w:r>
          </w:p>
        </w:tc>
      </w:tr>
      <w:tr w14:paraId="00EB37DF">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8" w:type="dxa"/>
            <w:vAlign w:val="center"/>
          </w:tcPr>
          <w:p w14:paraId="660EECFC">
            <w:pPr>
              <w:contextualSpacing/>
              <w:jc w:val="center"/>
              <w:rPr>
                <w:rFonts w:ascii="Times New Roman" w:hAnsi="Times New Roman" w:eastAsia="仿宋_GB2312"/>
                <w:color w:val="000000"/>
                <w:szCs w:val="21"/>
              </w:rPr>
            </w:pPr>
            <w:r>
              <w:rPr>
                <w:rFonts w:ascii="Times New Roman" w:hAnsi="Times New Roman" w:eastAsia="仿宋_GB2312"/>
                <w:color w:val="000000"/>
                <w:szCs w:val="21"/>
              </w:rPr>
              <w:t>竞赛</w:t>
            </w:r>
          </w:p>
          <w:p w14:paraId="3D88C374">
            <w:pPr>
              <w:contextualSpacing/>
              <w:jc w:val="center"/>
              <w:rPr>
                <w:rFonts w:ascii="Times New Roman" w:hAnsi="Times New Roman" w:eastAsia="仿宋_GB2312"/>
                <w:color w:val="000000"/>
                <w:szCs w:val="21"/>
              </w:rPr>
            </w:pPr>
            <w:r>
              <w:rPr>
                <w:rFonts w:hint="eastAsia" w:ascii="Times New Roman" w:hAnsi="Times New Roman" w:eastAsia="仿宋_GB2312"/>
                <w:color w:val="000000"/>
                <w:szCs w:val="21"/>
                <w:lang w:val="en-US" w:eastAsia="zh-CN"/>
              </w:rPr>
              <w:t>后</w:t>
            </w:r>
            <w:r>
              <w:rPr>
                <w:rFonts w:ascii="Times New Roman" w:hAnsi="Times New Roman" w:eastAsia="仿宋_GB2312"/>
                <w:color w:val="000000"/>
                <w:szCs w:val="21"/>
              </w:rPr>
              <w:t>1日</w:t>
            </w:r>
          </w:p>
        </w:tc>
        <w:tc>
          <w:tcPr>
            <w:tcW w:w="1492" w:type="dxa"/>
            <w:vAlign w:val="center"/>
          </w:tcPr>
          <w:p w14:paraId="65E55038">
            <w:pPr>
              <w:contextualSpacing/>
              <w:jc w:val="center"/>
              <w:rPr>
                <w:rFonts w:ascii="Times New Roman" w:hAnsi="Times New Roman" w:eastAsia="仿宋_GB2312"/>
                <w:color w:val="000000"/>
                <w:szCs w:val="21"/>
              </w:rPr>
            </w:pPr>
            <w:r>
              <w:rPr>
                <w:rFonts w:ascii="Times New Roman" w:hAnsi="Times New Roman" w:eastAsia="仿宋_GB2312"/>
                <w:color w:val="000000"/>
                <w:szCs w:val="21"/>
              </w:rPr>
              <w:t>09:30-10:00</w:t>
            </w:r>
          </w:p>
        </w:tc>
        <w:tc>
          <w:tcPr>
            <w:tcW w:w="2693" w:type="dxa"/>
            <w:vAlign w:val="center"/>
          </w:tcPr>
          <w:p w14:paraId="65773CD2">
            <w:pPr>
              <w:contextualSpacing/>
              <w:jc w:val="center"/>
              <w:rPr>
                <w:rFonts w:hint="default" w:ascii="Times New Roman" w:hAnsi="Times New Roman" w:eastAsia="仿宋_GB2312"/>
                <w:color w:val="000000"/>
                <w:szCs w:val="21"/>
                <w:lang w:val="en-US" w:eastAsia="zh-CN"/>
              </w:rPr>
            </w:pPr>
            <w:r>
              <w:rPr>
                <w:rFonts w:ascii="Times New Roman" w:hAnsi="Times New Roman" w:eastAsia="仿宋_GB2312"/>
                <w:color w:val="000000"/>
                <w:szCs w:val="21"/>
              </w:rPr>
              <w:t>闭幕式</w:t>
            </w:r>
            <w:r>
              <w:rPr>
                <w:rFonts w:hint="eastAsia" w:ascii="Times New Roman" w:hAnsi="Times New Roman" w:eastAsia="仿宋_GB2312"/>
                <w:color w:val="000000"/>
                <w:szCs w:val="21"/>
                <w:lang w:val="en-US" w:eastAsia="zh-CN"/>
              </w:rPr>
              <w:t>及颁奖</w:t>
            </w:r>
          </w:p>
        </w:tc>
        <w:tc>
          <w:tcPr>
            <w:tcW w:w="2127" w:type="dxa"/>
            <w:vAlign w:val="center"/>
          </w:tcPr>
          <w:p w14:paraId="035053A6">
            <w:pPr>
              <w:contextualSpacing/>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领导、嘉宾、裁判、各参赛队、专家组</w:t>
            </w:r>
          </w:p>
        </w:tc>
        <w:tc>
          <w:tcPr>
            <w:tcW w:w="1302" w:type="dxa"/>
            <w:vAlign w:val="center"/>
          </w:tcPr>
          <w:p w14:paraId="71A98EAE">
            <w:pPr>
              <w:contextualSpacing/>
              <w:jc w:val="center"/>
              <w:rPr>
                <w:rFonts w:hint="default" w:ascii="Times New Roman" w:hAnsi="Times New Roman" w:eastAsia="仿宋_GB2312"/>
                <w:color w:val="000000"/>
                <w:szCs w:val="21"/>
                <w:lang w:val="en-US" w:eastAsia="zh-CN"/>
              </w:rPr>
            </w:pPr>
            <w:r>
              <w:rPr>
                <w:rFonts w:hint="eastAsia" w:ascii="Times New Roman" w:hAnsi="Times New Roman" w:eastAsia="仿宋_GB2312"/>
                <w:color w:val="000000"/>
                <w:szCs w:val="21"/>
                <w:lang w:val="en-US" w:eastAsia="zh-CN"/>
              </w:rPr>
              <w:t>报告厅</w:t>
            </w:r>
          </w:p>
        </w:tc>
      </w:tr>
    </w:tbl>
    <w:p w14:paraId="35FE9539">
      <w:pPr>
        <w:pStyle w:val="2"/>
        <w:keepNext w:val="0"/>
        <w:keepLines w:val="0"/>
        <w:pageBreakBefore w:val="0"/>
        <w:widowControl w:val="0"/>
        <w:kinsoku/>
        <w:wordWrap/>
        <w:overflowPunct/>
        <w:topLinePunct w:val="0"/>
        <w:autoSpaceDE/>
        <w:autoSpaceDN/>
        <w:bidi w:val="0"/>
        <w:adjustRightInd/>
        <w:snapToGrid/>
        <w:spacing w:line="358" w:lineRule="auto"/>
        <w:ind w:left="0" w:right="0" w:firstLine="560" w:firstLineChars="200"/>
        <w:jc w:val="center"/>
        <w:textAlignment w:val="auto"/>
        <w:rPr>
          <w:rFonts w:hint="eastAsia" w:ascii="Times New Roman" w:hAnsi="Times New Roman" w:eastAsia="仿宋_GB2312" w:cstheme="minorBidi"/>
          <w:color w:val="000000"/>
          <w:kern w:val="0"/>
          <w:sz w:val="28"/>
          <w:szCs w:val="28"/>
          <w:u w:color="000000"/>
          <w:lang w:val="en-US" w:eastAsia="zh-CN" w:bidi="ar-SA"/>
        </w:rPr>
      </w:pPr>
      <w:r>
        <w:rPr>
          <w:rFonts w:hint="eastAsia" w:ascii="Times New Roman" w:hAnsi="Times New Roman" w:eastAsia="仿宋_GB2312" w:cstheme="minorBidi"/>
          <w:color w:val="000000"/>
          <w:kern w:val="0"/>
          <w:sz w:val="28"/>
          <w:szCs w:val="28"/>
          <w:u w:color="000000"/>
          <w:lang w:val="en-US" w:eastAsia="zh-CN" w:bidi="ar-SA"/>
        </w:rPr>
        <w:t>表1竞赛时间进程表</w:t>
      </w:r>
    </w:p>
    <w:p w14:paraId="087A58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_GB2312" w:cstheme="minorBidi"/>
          <w:b/>
          <w:bCs/>
          <w:color w:val="000000"/>
          <w:kern w:val="0"/>
          <w:sz w:val="28"/>
          <w:szCs w:val="28"/>
          <w:highlight w:val="none"/>
          <w:u w:color="000000"/>
          <w:lang w:val="en-US" w:eastAsia="zh-CN" w:bidi="ar-SA"/>
        </w:rPr>
      </w:pPr>
      <w:r>
        <w:rPr>
          <w:rFonts w:hint="eastAsia" w:ascii="Times New Roman" w:hAnsi="Times New Roman" w:eastAsia="仿宋_GB2312" w:cstheme="minorBidi"/>
          <w:b/>
          <w:bCs/>
          <w:color w:val="000000"/>
          <w:kern w:val="0"/>
          <w:sz w:val="28"/>
          <w:szCs w:val="28"/>
          <w:highlight w:val="none"/>
          <w:u w:color="000000"/>
          <w:lang w:val="en-US" w:eastAsia="zh-CN" w:bidi="ar-SA"/>
        </w:rPr>
        <w:t>（二）竞赛流程</w:t>
      </w:r>
    </w:p>
    <w:p w14:paraId="024F5D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_GB2312" w:cstheme="minorBidi"/>
          <w:color w:val="000000"/>
          <w:kern w:val="0"/>
          <w:sz w:val="28"/>
          <w:szCs w:val="28"/>
          <w:u w:color="000000"/>
          <w:lang w:val="en-US" w:eastAsia="zh-CN" w:bidi="ar-SA"/>
        </w:rPr>
      </w:pPr>
      <w:r>
        <w:rPr>
          <w:rFonts w:hint="eastAsia" w:ascii="Times New Roman" w:hAnsi="Times New Roman" w:eastAsia="仿宋_GB2312" w:cstheme="minorBidi"/>
          <w:color w:val="000000"/>
          <w:kern w:val="0"/>
          <w:sz w:val="28"/>
          <w:szCs w:val="28"/>
          <w:u w:color="000000"/>
          <w:lang w:val="en-US" w:eastAsia="zh-CN" w:bidi="ar-SA"/>
        </w:rPr>
        <w:t>竞赛前会根据参赛人数、竞赛场次等制作出详细日程表在竞赛技术平台网站上公布。</w:t>
      </w:r>
    </w:p>
    <w:p w14:paraId="50F01823">
      <w:pPr>
        <w:pStyle w:val="2"/>
        <w:keepNext w:val="0"/>
        <w:keepLines w:val="0"/>
        <w:pageBreakBefore w:val="0"/>
        <w:widowControl w:val="0"/>
        <w:kinsoku/>
        <w:wordWrap/>
        <w:overflowPunct/>
        <w:topLinePunct w:val="0"/>
        <w:autoSpaceDE/>
        <w:autoSpaceDN/>
        <w:bidi w:val="0"/>
        <w:adjustRightInd/>
        <w:snapToGrid/>
        <w:spacing w:line="358" w:lineRule="auto"/>
        <w:ind w:left="0" w:right="0" w:firstLine="420" w:firstLineChars="200"/>
        <w:jc w:val="center"/>
        <w:textAlignment w:val="auto"/>
        <w:rPr>
          <w:rFonts w:hint="eastAsia" w:ascii="Times New Roman" w:hAnsi="Times New Roman" w:eastAsia="仿宋_GB2312" w:cstheme="minorBidi"/>
          <w:color w:val="000000"/>
          <w:kern w:val="0"/>
          <w:sz w:val="28"/>
          <w:szCs w:val="28"/>
          <w:u w:color="000000"/>
          <w:lang w:val="en-US" w:eastAsia="zh-CN" w:bidi="ar-SA"/>
        </w:rPr>
      </w:pPr>
      <w:r>
        <w:drawing>
          <wp:inline distT="0" distB="0" distL="114300" distR="114300">
            <wp:extent cx="5234305" cy="4418965"/>
            <wp:effectExtent l="0" t="0" r="4445"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5234305" cy="4418965"/>
                    </a:xfrm>
                    <a:prstGeom prst="rect">
                      <a:avLst/>
                    </a:prstGeom>
                    <a:noFill/>
                    <a:ln>
                      <a:noFill/>
                    </a:ln>
                  </pic:spPr>
                </pic:pic>
              </a:graphicData>
            </a:graphic>
          </wp:inline>
        </w:drawing>
      </w:r>
    </w:p>
    <w:p w14:paraId="0FCA01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jc w:val="center"/>
        <w:textAlignment w:val="auto"/>
        <w:rPr>
          <w:rFonts w:hint="eastAsia" w:ascii="Times New Roman" w:hAnsi="Times New Roman" w:eastAsia="仿宋_GB2312" w:cstheme="minorBidi"/>
          <w:color w:val="000000"/>
          <w:kern w:val="0"/>
          <w:sz w:val="28"/>
          <w:szCs w:val="28"/>
          <w:u w:color="000000"/>
          <w:lang w:val="en-US" w:eastAsia="zh-CN" w:bidi="ar-SA"/>
        </w:rPr>
      </w:pPr>
      <w:r>
        <w:rPr>
          <w:rFonts w:hint="eastAsia" w:ascii="Times New Roman" w:hAnsi="Times New Roman" w:eastAsia="仿宋_GB2312" w:cstheme="minorBidi"/>
          <w:color w:val="000000"/>
          <w:kern w:val="0"/>
          <w:sz w:val="28"/>
          <w:szCs w:val="28"/>
          <w:u w:color="000000"/>
          <w:lang w:val="en-US" w:eastAsia="zh-CN" w:bidi="ar-SA"/>
        </w:rPr>
        <w:t>图1 竞赛流程图</w:t>
      </w:r>
    </w:p>
    <w:p w14:paraId="26A039B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b/>
          <w:bCs/>
          <w:kern w:val="2"/>
          <w:sz w:val="28"/>
          <w:szCs w:val="28"/>
          <w:lang w:val="en-US" w:eastAsia="zh-CN" w:bidi="ar-SA"/>
        </w:rPr>
      </w:pPr>
      <w:r>
        <w:rPr>
          <w:rFonts w:hint="eastAsia" w:ascii="Times New Roman" w:hAnsi="Times New Roman" w:eastAsia="仿宋_GB2312" w:cstheme="minorBidi"/>
          <w:b/>
          <w:bCs/>
          <w:color w:val="000000"/>
          <w:kern w:val="0"/>
          <w:sz w:val="28"/>
          <w:szCs w:val="28"/>
          <w:u w:color="000000"/>
          <w:lang w:val="en-US" w:eastAsia="zh-CN" w:bidi="ar-SA"/>
        </w:rPr>
        <w:t>（三）场次安排</w:t>
      </w:r>
    </w:p>
    <w:p w14:paraId="53F00A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_GB2312" w:cstheme="minorBidi"/>
          <w:color w:val="000000"/>
          <w:kern w:val="0"/>
          <w:sz w:val="28"/>
          <w:szCs w:val="28"/>
          <w:u w:color="000000"/>
          <w:lang w:val="en-US" w:eastAsia="zh-CN" w:bidi="ar-SA"/>
        </w:rPr>
      </w:pPr>
      <w:r>
        <w:rPr>
          <w:rFonts w:hint="eastAsia" w:ascii="Times New Roman" w:hAnsi="Times New Roman" w:eastAsia="仿宋_GB2312" w:cstheme="minorBidi"/>
          <w:color w:val="000000"/>
          <w:kern w:val="0"/>
          <w:sz w:val="28"/>
          <w:szCs w:val="28"/>
          <w:u w:color="000000"/>
          <w:lang w:val="en-US" w:eastAsia="zh-CN" w:bidi="ar-SA"/>
        </w:rPr>
        <w:t>竞赛按照学生组和职工组分为2个组别举行，每场由理论知识竞赛和技能实操竞赛组成，具体场次根据参赛选手报名人数和设备数量而定。</w:t>
      </w:r>
    </w:p>
    <w:p w14:paraId="0BC3B5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rPr>
          <w:rFonts w:hint="eastAsia" w:ascii="Times New Roman" w:hAnsi="Times New Roman" w:eastAsia="仿宋_GB2312" w:cstheme="minorBidi"/>
          <w:b/>
          <w:bCs/>
          <w:color w:val="000000"/>
          <w:kern w:val="0"/>
          <w:sz w:val="28"/>
          <w:szCs w:val="28"/>
          <w:highlight w:val="red"/>
          <w:u w:color="000000"/>
          <w:lang w:val="en-US" w:eastAsia="zh-CN" w:bidi="ar-SA"/>
        </w:rPr>
      </w:pPr>
      <w:r>
        <w:rPr>
          <w:rFonts w:hint="eastAsia" w:ascii="Times New Roman" w:hAnsi="Times New Roman" w:eastAsia="仿宋_GB2312" w:cstheme="minorBidi"/>
          <w:b/>
          <w:bCs/>
          <w:color w:val="000000"/>
          <w:kern w:val="0"/>
          <w:sz w:val="28"/>
          <w:szCs w:val="28"/>
          <w:u w:color="000000"/>
          <w:lang w:val="en-US" w:eastAsia="zh-CN" w:bidi="ar-SA"/>
        </w:rPr>
        <w:t>（四）</w:t>
      </w:r>
      <w:r>
        <w:rPr>
          <w:rFonts w:hint="eastAsia" w:ascii="Times New Roman" w:hAnsi="Times New Roman" w:eastAsia="仿宋_GB2312" w:cstheme="minorBidi"/>
          <w:b/>
          <w:bCs/>
          <w:color w:val="000000"/>
          <w:kern w:val="0"/>
          <w:sz w:val="28"/>
          <w:szCs w:val="28"/>
          <w:highlight w:val="none"/>
          <w:u w:color="000000"/>
          <w:lang w:val="en-US" w:eastAsia="zh-CN" w:bidi="ar-SA"/>
        </w:rPr>
        <w:t>序号抽签和赛位抽签</w:t>
      </w:r>
    </w:p>
    <w:p w14:paraId="6EE71E9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_GB2312" w:cstheme="minorBidi"/>
          <w:color w:val="000000"/>
          <w:kern w:val="0"/>
          <w:sz w:val="28"/>
          <w:szCs w:val="28"/>
          <w:u w:color="000000"/>
          <w:lang w:val="en-US" w:eastAsia="zh-CN" w:bidi="ar-SA"/>
        </w:rPr>
      </w:pPr>
      <w:r>
        <w:rPr>
          <w:rFonts w:hint="eastAsia" w:ascii="Times New Roman" w:hAnsi="Times New Roman" w:eastAsia="仿宋_GB2312" w:cstheme="minorBidi"/>
          <w:color w:val="000000"/>
          <w:kern w:val="0"/>
          <w:sz w:val="28"/>
          <w:szCs w:val="28"/>
          <w:u w:color="000000"/>
          <w:lang w:val="en-US" w:eastAsia="zh-CN" w:bidi="ar-SA"/>
        </w:rPr>
        <w:t>1.在竞赛前，由技术委员会统筹考虑参赛人数和设备台套数，在各参赛队领队会上通过抽签产生参赛选手理论竞赛考场、实操竞赛场次，由领队通知参赛选手。</w:t>
      </w:r>
    </w:p>
    <w:p w14:paraId="52319D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_GB2312" w:cstheme="minorBidi"/>
          <w:color w:val="000000"/>
          <w:kern w:val="0"/>
          <w:sz w:val="28"/>
          <w:szCs w:val="28"/>
          <w:u w:color="000000"/>
          <w:lang w:val="en-US" w:eastAsia="zh-CN" w:bidi="ar-SA"/>
        </w:rPr>
      </w:pPr>
      <w:r>
        <w:rPr>
          <w:rFonts w:hint="eastAsia" w:ascii="Times New Roman" w:hAnsi="Times New Roman" w:eastAsia="仿宋_GB2312" w:cstheme="minorBidi"/>
          <w:color w:val="000000"/>
          <w:kern w:val="0"/>
          <w:sz w:val="28"/>
          <w:szCs w:val="28"/>
          <w:u w:color="000000"/>
          <w:lang w:val="en-US" w:eastAsia="zh-CN" w:bidi="ar-SA"/>
        </w:rPr>
        <w:t>2.实操竞赛选手按照抽签确定的场次进行检录，再抽签确定本人竞赛赛位。</w:t>
      </w:r>
    </w:p>
    <w:p w14:paraId="0E954BB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仿宋_GB2312" w:cstheme="minorBidi"/>
          <w:b/>
          <w:bCs/>
          <w:color w:val="000000"/>
          <w:kern w:val="0"/>
          <w:sz w:val="28"/>
          <w:szCs w:val="28"/>
          <w:highlight w:val="none"/>
          <w:u w:color="000000"/>
          <w:lang w:val="en-US" w:eastAsia="zh-CN" w:bidi="ar-SA"/>
        </w:rPr>
      </w:pPr>
      <w:r>
        <w:rPr>
          <w:rFonts w:hint="eastAsia" w:ascii="Times New Roman" w:hAnsi="Times New Roman" w:eastAsia="仿宋_GB2312" w:cstheme="minorBidi"/>
          <w:b/>
          <w:bCs/>
          <w:color w:val="000000"/>
          <w:kern w:val="0"/>
          <w:sz w:val="28"/>
          <w:szCs w:val="28"/>
          <w:u w:color="000000"/>
          <w:lang w:val="en-US" w:eastAsia="zh-CN" w:bidi="ar-SA"/>
        </w:rPr>
        <w:t>（五）</w:t>
      </w:r>
      <w:r>
        <w:rPr>
          <w:rFonts w:hint="eastAsia" w:ascii="Times New Roman" w:hAnsi="Times New Roman" w:eastAsia="仿宋_GB2312" w:cstheme="minorBidi"/>
          <w:b/>
          <w:bCs/>
          <w:color w:val="000000"/>
          <w:kern w:val="0"/>
          <w:sz w:val="28"/>
          <w:szCs w:val="28"/>
          <w:highlight w:val="none"/>
          <w:u w:color="000000"/>
          <w:lang w:val="en-US" w:eastAsia="zh-CN" w:bidi="ar-SA"/>
        </w:rPr>
        <w:t>竞赛场地与技术平台</w:t>
      </w:r>
    </w:p>
    <w:p w14:paraId="7D7CEE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color w:val="000000"/>
          <w:kern w:val="0"/>
          <w:sz w:val="28"/>
          <w:szCs w:val="28"/>
          <w:u w:color="000000"/>
          <w:lang w:val="en-US" w:eastAsia="zh-CN" w:bidi="ar-SA"/>
        </w:rPr>
      </w:pPr>
      <w:r>
        <w:rPr>
          <w:rFonts w:hint="eastAsia" w:ascii="仿宋_GB2312" w:hAnsi="仿宋_GB2312" w:eastAsia="仿宋_GB2312" w:cs="仿宋_GB2312"/>
          <w:color w:val="000000"/>
          <w:kern w:val="0"/>
          <w:sz w:val="28"/>
          <w:szCs w:val="28"/>
          <w:u w:color="000000"/>
          <w:lang w:val="en-US" w:eastAsia="zh-CN" w:bidi="ar-SA"/>
        </w:rPr>
        <w:t>1.</w:t>
      </w:r>
      <w:r>
        <w:rPr>
          <w:rFonts w:hint="eastAsia" w:ascii="仿宋_GB2312" w:hAnsi="仿宋_GB2312" w:eastAsia="仿宋_GB2312" w:cs="仿宋_GB2312"/>
          <w:b/>
          <w:bCs/>
          <w:color w:val="000000"/>
          <w:kern w:val="0"/>
          <w:sz w:val="28"/>
          <w:szCs w:val="28"/>
          <w:u w:color="000000"/>
          <w:lang w:val="en-US" w:eastAsia="zh-CN" w:bidi="ar-SA"/>
        </w:rPr>
        <w:t>竞赛场地配置</w:t>
      </w:r>
      <w:r>
        <w:rPr>
          <w:rFonts w:hint="eastAsia" w:ascii="仿宋_GB2312" w:hAnsi="仿宋_GB2312" w:eastAsia="仿宋_GB2312" w:cs="仿宋_GB2312"/>
          <w:color w:val="000000"/>
          <w:kern w:val="0"/>
          <w:sz w:val="28"/>
          <w:szCs w:val="28"/>
          <w:u w:color="000000"/>
          <w:lang w:val="en-US" w:eastAsia="zh-CN" w:bidi="ar-SA"/>
        </w:rPr>
        <w:t>：保证良好的采光、照明和通风。提供稳定的水、电、网络和供电应急设备。理论和技能考核竞赛现场均安装高清监控，全方位记录和监控选手操作过程；竞赛场地面积需≥参赛队伍数量*10 m²。</w:t>
      </w:r>
    </w:p>
    <w:p w14:paraId="7E6336A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color w:val="000000"/>
          <w:kern w:val="0"/>
          <w:sz w:val="28"/>
          <w:szCs w:val="28"/>
          <w:u w:color="000000"/>
          <w:lang w:val="en-US" w:eastAsia="zh-CN" w:bidi="ar-SA"/>
        </w:rPr>
      </w:pPr>
      <w:r>
        <w:rPr>
          <w:rFonts w:hint="eastAsia" w:ascii="仿宋_GB2312" w:hAnsi="仿宋_GB2312" w:eastAsia="仿宋_GB2312" w:cs="仿宋_GB2312"/>
          <w:color w:val="000000"/>
          <w:kern w:val="0"/>
          <w:sz w:val="28"/>
          <w:szCs w:val="28"/>
          <w:u w:color="000000"/>
          <w:lang w:val="en-US" w:eastAsia="zh-CN" w:bidi="ar-SA"/>
        </w:rPr>
        <w:t>2.</w:t>
      </w:r>
      <w:r>
        <w:rPr>
          <w:rFonts w:hint="eastAsia" w:ascii="仿宋_GB2312" w:hAnsi="仿宋_GB2312" w:eastAsia="仿宋_GB2312" w:cs="仿宋_GB2312"/>
          <w:b/>
          <w:bCs/>
          <w:color w:val="000000"/>
          <w:kern w:val="0"/>
          <w:sz w:val="28"/>
          <w:szCs w:val="28"/>
          <w:u w:color="000000"/>
          <w:lang w:val="en-US" w:eastAsia="zh-CN" w:bidi="ar-SA"/>
        </w:rPr>
        <w:t>竞赛工位配置</w:t>
      </w:r>
      <w:r>
        <w:rPr>
          <w:rFonts w:hint="eastAsia" w:ascii="仿宋_GB2312" w:hAnsi="仿宋_GB2312" w:eastAsia="仿宋_GB2312" w:cs="仿宋_GB2312"/>
          <w:color w:val="000000"/>
          <w:kern w:val="0"/>
          <w:sz w:val="28"/>
          <w:szCs w:val="28"/>
          <w:u w:color="000000"/>
          <w:lang w:val="en-US" w:eastAsia="zh-CN" w:bidi="ar-SA"/>
        </w:rPr>
        <w:t>：每个操作平台面积≥8m²、工位间隔＞1.5m，需注明工位号并配备符合安全标准的220V电源。</w:t>
      </w:r>
    </w:p>
    <w:p w14:paraId="054AC73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color w:val="000000"/>
          <w:kern w:val="0"/>
          <w:sz w:val="28"/>
          <w:szCs w:val="28"/>
          <w:u w:color="000000"/>
          <w:lang w:val="en-US" w:eastAsia="zh-CN" w:bidi="ar-SA"/>
        </w:rPr>
      </w:pPr>
      <w:r>
        <w:rPr>
          <w:rFonts w:hint="eastAsia" w:ascii="仿宋_GB2312" w:hAnsi="仿宋_GB2312" w:eastAsia="仿宋_GB2312" w:cs="仿宋_GB2312"/>
          <w:color w:val="000000"/>
          <w:kern w:val="0"/>
          <w:sz w:val="28"/>
          <w:szCs w:val="28"/>
          <w:u w:color="000000"/>
          <w:lang w:val="en-US" w:eastAsia="zh-CN" w:bidi="ar-SA"/>
        </w:rPr>
        <w:t>3.</w:t>
      </w:r>
      <w:r>
        <w:rPr>
          <w:rFonts w:hint="eastAsia" w:ascii="仿宋_GB2312" w:hAnsi="仿宋_GB2312" w:eastAsia="仿宋_GB2312" w:cs="仿宋_GB2312"/>
          <w:b/>
          <w:bCs/>
          <w:color w:val="000000"/>
          <w:kern w:val="0"/>
          <w:sz w:val="28"/>
          <w:szCs w:val="28"/>
          <w:u w:color="000000"/>
          <w:lang w:val="en-US" w:eastAsia="zh-CN" w:bidi="ar-SA"/>
        </w:rPr>
        <w:t>赛场区域配置</w:t>
      </w:r>
      <w:r>
        <w:rPr>
          <w:rFonts w:hint="eastAsia" w:ascii="仿宋_GB2312" w:hAnsi="仿宋_GB2312" w:eastAsia="仿宋_GB2312" w:cs="仿宋_GB2312"/>
          <w:color w:val="000000"/>
          <w:kern w:val="0"/>
          <w:sz w:val="28"/>
          <w:szCs w:val="28"/>
          <w:u w:color="000000"/>
          <w:lang w:val="en-US" w:eastAsia="zh-CN" w:bidi="ar-SA"/>
        </w:rPr>
        <w:t>：检录区、加密区、技能操作竞赛区、裁判区、考务区。</w:t>
      </w:r>
    </w:p>
    <w:p w14:paraId="26FD678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color w:val="000000"/>
          <w:kern w:val="0"/>
          <w:sz w:val="28"/>
          <w:szCs w:val="28"/>
          <w:u w:color="000000"/>
          <w:lang w:val="en-US" w:eastAsia="zh-CN" w:bidi="ar-SA"/>
        </w:rPr>
      </w:pPr>
      <w:r>
        <w:rPr>
          <w:rFonts w:hint="eastAsia" w:ascii="仿宋_GB2312" w:hAnsi="仿宋_GB2312" w:eastAsia="仿宋_GB2312" w:cs="仿宋_GB2312"/>
          <w:color w:val="000000"/>
          <w:kern w:val="0"/>
          <w:sz w:val="28"/>
          <w:szCs w:val="28"/>
          <w:u w:color="000000"/>
          <w:lang w:val="en-US" w:eastAsia="zh-CN" w:bidi="ar-SA"/>
        </w:rPr>
        <w:t xml:space="preserve">检录区：核实参赛选手身份，检查有无携带违禁物品。 </w:t>
      </w:r>
    </w:p>
    <w:p w14:paraId="06ADA5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color w:val="000000"/>
          <w:kern w:val="0"/>
          <w:sz w:val="28"/>
          <w:szCs w:val="28"/>
          <w:u w:color="000000"/>
          <w:lang w:val="en-US" w:eastAsia="zh-CN" w:bidi="ar-SA"/>
        </w:rPr>
      </w:pPr>
      <w:r>
        <w:rPr>
          <w:rFonts w:hint="eastAsia" w:ascii="仿宋_GB2312" w:hAnsi="仿宋_GB2312" w:eastAsia="仿宋_GB2312" w:cs="仿宋_GB2312"/>
          <w:color w:val="000000"/>
          <w:kern w:val="0"/>
          <w:sz w:val="28"/>
          <w:szCs w:val="28"/>
          <w:u w:color="000000"/>
          <w:lang w:val="en-US" w:eastAsia="zh-CN" w:bidi="ar-SA"/>
        </w:rPr>
        <w:t>加密区：进行第二次加密抽签。</w:t>
      </w:r>
    </w:p>
    <w:p w14:paraId="6ED6F3A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color w:val="000000"/>
          <w:kern w:val="0"/>
          <w:sz w:val="28"/>
          <w:szCs w:val="28"/>
          <w:u w:color="000000"/>
          <w:lang w:val="en-US" w:eastAsia="zh-CN" w:bidi="ar-SA"/>
        </w:rPr>
      </w:pPr>
      <w:r>
        <w:rPr>
          <w:rFonts w:hint="eastAsia" w:ascii="仿宋_GB2312" w:hAnsi="仿宋_GB2312" w:eastAsia="仿宋_GB2312" w:cs="仿宋_GB2312"/>
          <w:color w:val="000000"/>
          <w:kern w:val="0"/>
          <w:sz w:val="28"/>
          <w:szCs w:val="28"/>
          <w:u w:color="000000"/>
          <w:lang w:val="en-US" w:eastAsia="zh-CN" w:bidi="ar-SA"/>
        </w:rPr>
        <w:t xml:space="preserve">裁判区：布置监控电脑、打印机及办公用品等，用于裁判长远程监控、成绩单打印等。 </w:t>
      </w:r>
    </w:p>
    <w:p w14:paraId="331EDE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color w:val="000000"/>
          <w:kern w:val="0"/>
          <w:sz w:val="28"/>
          <w:szCs w:val="28"/>
          <w:u w:color="000000"/>
          <w:lang w:val="en-US" w:eastAsia="zh-CN" w:bidi="ar-SA"/>
        </w:rPr>
      </w:pPr>
      <w:r>
        <w:rPr>
          <w:rFonts w:hint="eastAsia" w:ascii="仿宋_GB2312" w:hAnsi="仿宋_GB2312" w:eastAsia="仿宋_GB2312" w:cs="仿宋_GB2312"/>
          <w:color w:val="000000"/>
          <w:kern w:val="0"/>
          <w:sz w:val="28"/>
          <w:szCs w:val="28"/>
          <w:u w:color="000000"/>
          <w:lang w:val="en-US" w:eastAsia="zh-CN" w:bidi="ar-SA"/>
        </w:rPr>
        <w:t>考务区：存放工器具、耗材等。工作人员在竞赛过程中配合协作现场裁判。</w:t>
      </w:r>
    </w:p>
    <w:p w14:paraId="0ED84E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color w:val="000000"/>
          <w:kern w:val="0"/>
          <w:sz w:val="28"/>
          <w:szCs w:val="28"/>
          <w:u w:color="000000"/>
          <w:lang w:val="en-US" w:eastAsia="zh-CN" w:bidi="ar-SA"/>
        </w:rPr>
      </w:pPr>
      <w:r>
        <w:rPr>
          <w:rFonts w:hint="eastAsia" w:ascii="仿宋_GB2312" w:hAnsi="仿宋_GB2312" w:eastAsia="仿宋_GB2312" w:cs="仿宋_GB2312"/>
          <w:color w:val="000000"/>
          <w:kern w:val="0"/>
          <w:sz w:val="28"/>
          <w:szCs w:val="28"/>
          <w:u w:color="000000"/>
          <w:lang w:val="en-US" w:eastAsia="zh-CN" w:bidi="ar-SA"/>
        </w:rPr>
        <w:t xml:space="preserve">竞赛区：每个赛位面积约≥8m²、工位间隔＞1.5m。 </w:t>
      </w:r>
    </w:p>
    <w:p w14:paraId="757EDA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color w:val="000000"/>
          <w:kern w:val="0"/>
          <w:sz w:val="28"/>
          <w:szCs w:val="28"/>
          <w:u w:color="000000"/>
          <w:lang w:val="en-US" w:eastAsia="zh-CN" w:bidi="ar-SA"/>
        </w:rPr>
      </w:pPr>
      <w:r>
        <w:rPr>
          <w:rFonts w:hint="eastAsia" w:ascii="仿宋_GB2312" w:hAnsi="仿宋_GB2312" w:eastAsia="仿宋_GB2312" w:cs="仿宋_GB2312"/>
          <w:color w:val="000000"/>
          <w:kern w:val="0"/>
          <w:sz w:val="28"/>
          <w:szCs w:val="28"/>
          <w:u w:color="000000"/>
          <w:lang w:val="en-US" w:eastAsia="zh-CN" w:bidi="ar-SA"/>
        </w:rPr>
        <w:t>竞赛区域安装高清监控，能全程无死角监控竞赛过程。监控网络与裁判区电脑组建局域网（视频可作为裁判辅助依据），为防止干扰，弱电与强电分槽布置。</w:t>
      </w:r>
    </w:p>
    <w:p w14:paraId="3398C1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color w:val="000000"/>
          <w:kern w:val="0"/>
          <w:sz w:val="28"/>
          <w:szCs w:val="28"/>
          <w:u w:color="000000"/>
          <w:lang w:val="en-US" w:eastAsia="zh-CN" w:bidi="ar-SA"/>
        </w:rPr>
      </w:pPr>
      <w:r>
        <w:rPr>
          <w:rFonts w:hint="eastAsia" w:ascii="仿宋_GB2312" w:hAnsi="仿宋_GB2312" w:eastAsia="仿宋_GB2312" w:cs="仿宋_GB2312"/>
          <w:color w:val="000000"/>
          <w:kern w:val="0"/>
          <w:sz w:val="28"/>
          <w:szCs w:val="28"/>
          <w:u w:color="000000"/>
          <w:lang w:val="en-US" w:eastAsia="zh-CN" w:bidi="ar-SA"/>
        </w:rPr>
        <w:t>4.</w:t>
      </w:r>
      <w:r>
        <w:rPr>
          <w:rFonts w:hint="eastAsia" w:ascii="仿宋_GB2312" w:hAnsi="仿宋_GB2312" w:eastAsia="仿宋_GB2312" w:cs="仿宋_GB2312"/>
          <w:b/>
          <w:bCs/>
          <w:color w:val="000000"/>
          <w:kern w:val="0"/>
          <w:sz w:val="28"/>
          <w:szCs w:val="28"/>
          <w:u w:color="000000"/>
          <w:lang w:val="en-US" w:eastAsia="zh-CN" w:bidi="ar-SA"/>
        </w:rPr>
        <w:t>网络设备</w:t>
      </w:r>
      <w:r>
        <w:rPr>
          <w:rFonts w:hint="eastAsia" w:ascii="仿宋_GB2312" w:hAnsi="仿宋_GB2312" w:eastAsia="仿宋_GB2312" w:cs="仿宋_GB2312"/>
          <w:color w:val="000000"/>
          <w:kern w:val="0"/>
          <w:sz w:val="28"/>
          <w:szCs w:val="28"/>
          <w:u w:color="000000"/>
          <w:lang w:val="en-US" w:eastAsia="zh-CN" w:bidi="ar-SA"/>
        </w:rPr>
        <w:t>：安装千兆交换机，可访问外网服务器；每个竞赛工位配置稳定的10M带宽有线互联网络、WIFI信号。</w:t>
      </w:r>
    </w:p>
    <w:p w14:paraId="331DA3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b/>
          <w:bCs/>
          <w:color w:val="000000"/>
          <w:kern w:val="0"/>
          <w:sz w:val="28"/>
          <w:szCs w:val="28"/>
          <w:u w:color="000000"/>
          <w:lang w:val="en-US" w:eastAsia="zh-CN" w:bidi="ar-SA"/>
        </w:rPr>
      </w:pPr>
      <w:r>
        <w:rPr>
          <w:rFonts w:hint="eastAsia" w:ascii="仿宋_GB2312" w:hAnsi="仿宋_GB2312" w:eastAsia="仿宋_GB2312" w:cs="仿宋_GB2312"/>
          <w:color w:val="000000"/>
          <w:kern w:val="0"/>
          <w:sz w:val="28"/>
          <w:szCs w:val="28"/>
          <w:u w:color="000000"/>
          <w:lang w:val="en-US" w:eastAsia="zh-CN" w:bidi="ar-SA"/>
        </w:rPr>
        <w:t>5.</w:t>
      </w:r>
      <w:r>
        <w:rPr>
          <w:rFonts w:hint="eastAsia" w:ascii="仿宋_GB2312" w:hAnsi="仿宋_GB2312" w:eastAsia="仿宋_GB2312" w:cs="仿宋_GB2312"/>
          <w:b/>
          <w:bCs/>
          <w:color w:val="000000"/>
          <w:kern w:val="0"/>
          <w:sz w:val="28"/>
          <w:szCs w:val="28"/>
          <w:u w:color="000000"/>
          <w:lang w:val="en-US" w:eastAsia="zh-CN" w:bidi="ar-SA"/>
        </w:rPr>
        <w:t>技术平台介绍</w:t>
      </w:r>
    </w:p>
    <w:p w14:paraId="3E8297CB">
      <w:pPr>
        <w:widowControl w:val="0"/>
        <w:numPr>
          <w:ilvl w:val="0"/>
          <w:numId w:val="0"/>
        </w:numPr>
        <w:jc w:val="both"/>
      </w:pPr>
      <w:r>
        <w:drawing>
          <wp:anchor distT="0" distB="0" distL="114300" distR="114300" simplePos="0" relativeHeight="251659264" behindDoc="0" locked="0" layoutInCell="1" allowOverlap="1">
            <wp:simplePos x="0" y="0"/>
            <wp:positionH relativeFrom="column">
              <wp:posOffset>675640</wp:posOffset>
            </wp:positionH>
            <wp:positionV relativeFrom="paragraph">
              <wp:posOffset>258445</wp:posOffset>
            </wp:positionV>
            <wp:extent cx="2045970" cy="1747520"/>
            <wp:effectExtent l="0" t="0" r="0" b="5080"/>
            <wp:wrapTopAndBottom/>
            <wp:docPr id="1" name="图片 3" descr="微信图片_2024042809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微信图片_20240428093117"/>
                    <pic:cNvPicPr>
                      <a:picLocks noChangeAspect="1"/>
                    </pic:cNvPicPr>
                  </pic:nvPicPr>
                  <pic:blipFill>
                    <a:blip r:embed="rId5"/>
                    <a:stretch>
                      <a:fillRect/>
                    </a:stretch>
                  </pic:blipFill>
                  <pic:spPr>
                    <a:xfrm>
                      <a:off x="0" y="0"/>
                      <a:ext cx="2045970" cy="1747520"/>
                    </a:xfrm>
                    <a:prstGeom prst="rect">
                      <a:avLst/>
                    </a:prstGeom>
                  </pic:spPr>
                </pic:pic>
              </a:graphicData>
            </a:graphic>
          </wp:anchor>
        </w:drawing>
      </w: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3448685</wp:posOffset>
            </wp:positionH>
            <wp:positionV relativeFrom="paragraph">
              <wp:posOffset>301625</wp:posOffset>
            </wp:positionV>
            <wp:extent cx="1979295" cy="1796415"/>
            <wp:effectExtent l="0" t="0" r="1905" b="13335"/>
            <wp:wrapTopAndBottom/>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6"/>
                    <a:stretch>
                      <a:fillRect/>
                    </a:stretch>
                  </pic:blipFill>
                  <pic:spPr>
                    <a:xfrm>
                      <a:off x="0" y="0"/>
                      <a:ext cx="1979295" cy="1796415"/>
                    </a:xfrm>
                    <a:prstGeom prst="rect">
                      <a:avLst/>
                    </a:prstGeom>
                    <a:noFill/>
                    <a:ln w="9525">
                      <a:noFill/>
                    </a:ln>
                  </pic:spPr>
                </pic:pic>
              </a:graphicData>
            </a:graphic>
          </wp:anchor>
        </w:drawing>
      </w:r>
    </w:p>
    <w:p w14:paraId="390B11C0">
      <w:pPr>
        <w:widowControl w:val="0"/>
        <w:numPr>
          <w:ilvl w:val="0"/>
          <w:numId w:val="0"/>
        </w:numPr>
        <w:jc w:val="center"/>
      </w:pPr>
    </w:p>
    <w:p w14:paraId="48FF8C3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color w:val="000000"/>
          <w:kern w:val="0"/>
          <w:sz w:val="28"/>
          <w:szCs w:val="28"/>
          <w:u w:color="000000"/>
          <w:lang w:val="en-US" w:eastAsia="zh-CN" w:bidi="ar-SA"/>
        </w:rPr>
      </w:pPr>
      <w:r>
        <w:rPr>
          <w:rFonts w:hint="eastAsia" w:ascii="仿宋_GB2312" w:hAnsi="仿宋_GB2312" w:eastAsia="仿宋_GB2312" w:cs="仿宋_GB2312"/>
          <w:color w:val="000000"/>
          <w:kern w:val="0"/>
          <w:sz w:val="28"/>
          <w:szCs w:val="28"/>
          <w:u w:color="000000"/>
          <w:lang w:val="en-US" w:eastAsia="zh-CN" w:bidi="ar-SA"/>
        </w:rPr>
        <w:t>平台以视觉系统和机器人为核心，面向人工智能、机器人应用和智能制造领域中的视觉识别、定位、检测等实际应用，搭建典型的机器人+视觉生产线场景。生产线部署人工智能软件环境，不仅可完成常规的数字图像处理、机器视觉、机器人运动控制等基础实验，还可以进行复杂的字符识别、缺陷检测、目标识别、特征分析等综合性实验。</w:t>
      </w:r>
    </w:p>
    <w:p w14:paraId="689914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rPr>
          <w:rFonts w:hint="default" w:ascii="仿宋_GB2312" w:hAnsi="仿宋_GB2312" w:eastAsia="仿宋_GB2312" w:cs="仿宋_GB2312"/>
          <w:color w:val="000000"/>
          <w:kern w:val="0"/>
          <w:sz w:val="28"/>
          <w:szCs w:val="28"/>
          <w:u w:color="000000"/>
          <w:lang w:val="en-US" w:eastAsia="zh-CN" w:bidi="ar-SA"/>
        </w:rPr>
      </w:pPr>
      <w:r>
        <w:rPr>
          <w:rFonts w:hint="eastAsia" w:ascii="仿宋_GB2312" w:hAnsi="仿宋_GB2312" w:eastAsia="仿宋_GB2312" w:cs="仿宋_GB2312"/>
          <w:color w:val="000000"/>
          <w:kern w:val="0"/>
          <w:sz w:val="28"/>
          <w:szCs w:val="28"/>
          <w:u w:color="000000"/>
          <w:lang w:val="en-US" w:eastAsia="zh-CN" w:bidi="ar-SA"/>
        </w:rPr>
        <w:t>实验箱面向人工智能方向的基础应用与开发，集成了计算机视觉系统、语音处理系统、机械手臂、以及手势传感器、温湿度传感器、大气压传感器等多种嵌入式应用模块，通过搭建边缘计算终端，为人工智能方向相关的应用开发提供统一的通讯协议和接口，可进行深度学习、机器视觉、语音处理等方向的应用开发与实践。</w:t>
      </w:r>
    </w:p>
    <w:p w14:paraId="79CEA457">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cs="仿宋"/>
          <w:szCs w:val="32"/>
        </w:rPr>
      </w:pPr>
      <w:r>
        <w:rPr>
          <w:rFonts w:hint="eastAsia" w:ascii="仿宋_GB2312" w:hAnsi="仿宋_GB2312" w:eastAsia="仿宋_GB2312" w:cs="仿宋_GB2312"/>
          <w:color w:val="000000"/>
          <w:kern w:val="0"/>
          <w:sz w:val="28"/>
          <w:szCs w:val="28"/>
          <w:u w:color="000000"/>
          <w:lang w:val="en-US" w:eastAsia="zh-CN" w:bidi="ar-SA"/>
        </w:rPr>
        <w:t>6.</w:t>
      </w:r>
      <w:r>
        <w:rPr>
          <w:rFonts w:hint="eastAsia" w:ascii="仿宋_GB2312" w:hAnsi="仿宋_GB2312" w:eastAsia="仿宋_GB2312" w:cs="仿宋_GB2312"/>
          <w:b/>
          <w:bCs/>
          <w:color w:val="000000"/>
          <w:kern w:val="0"/>
          <w:sz w:val="28"/>
          <w:szCs w:val="28"/>
          <w:u w:color="000000"/>
          <w:lang w:val="en-US" w:eastAsia="zh-CN" w:bidi="ar-SA"/>
        </w:rPr>
        <w:t>竞赛设备配置要求</w:t>
      </w:r>
      <w:r>
        <w:rPr>
          <w:rFonts w:hint="eastAsia" w:ascii="仿宋_GB2312" w:hAnsi="仿宋_GB2312" w:eastAsia="仿宋_GB2312" w:cs="仿宋_GB2312"/>
          <w:color w:val="000000"/>
          <w:kern w:val="0"/>
          <w:sz w:val="28"/>
          <w:szCs w:val="28"/>
          <w:u w:color="000000"/>
          <w:lang w:val="en-US" w:eastAsia="zh-CN" w:bidi="ar-SA"/>
        </w:rPr>
        <w:t>（竞赛设备具体需求如下表）</w:t>
      </w:r>
      <w:r>
        <w:rPr>
          <w:rFonts w:hint="eastAsia" w:ascii="仿宋_GB2312" w:hAnsi="仿宋_GB2312" w:eastAsia="仿宋_GB2312" w:cs="仿宋_GB2312"/>
          <w:szCs w:val="32"/>
        </w:rPr>
        <w:t>：</w:t>
      </w:r>
    </w:p>
    <w:p w14:paraId="21846BF3">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eastAsia" w:ascii="Times New Roman" w:hAnsi="Times New Roman" w:eastAsia="仿宋_GB2312" w:cstheme="minorBidi"/>
          <w:color w:val="000000"/>
          <w:kern w:val="0"/>
          <w:sz w:val="28"/>
          <w:szCs w:val="28"/>
          <w:u w:color="000000"/>
          <w:lang w:val="en-US" w:eastAsia="zh-CN" w:bidi="ar-SA"/>
        </w:rPr>
      </w:pPr>
      <w:r>
        <w:rPr>
          <w:rFonts w:hint="eastAsia" w:ascii="Times New Roman" w:hAnsi="Times New Roman" w:eastAsia="仿宋_GB2312" w:cstheme="minorBidi"/>
          <w:color w:val="000000"/>
          <w:kern w:val="0"/>
          <w:sz w:val="28"/>
          <w:szCs w:val="28"/>
          <w:u w:color="000000"/>
          <w:lang w:val="en-US" w:eastAsia="zh-CN" w:bidi="ar-SA"/>
        </w:rPr>
        <w:t>（1）竞赛硬件配置要求</w:t>
      </w:r>
    </w:p>
    <w:tbl>
      <w:tblPr>
        <w:tblStyle w:val="14"/>
        <w:tblW w:w="924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82"/>
        <w:gridCol w:w="1215"/>
        <w:gridCol w:w="3435"/>
        <w:gridCol w:w="735"/>
        <w:gridCol w:w="1005"/>
        <w:gridCol w:w="1275"/>
      </w:tblGrid>
      <w:tr w14:paraId="497FE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jc w:val="center"/>
        </w:trPr>
        <w:tc>
          <w:tcPr>
            <w:tcW w:w="1582" w:type="dxa"/>
            <w:tcBorders>
              <w:top w:val="single" w:color="000000" w:sz="8" w:space="0"/>
              <w:left w:val="single" w:color="000000" w:sz="8" w:space="0"/>
              <w:bottom w:val="single" w:color="auto" w:sz="4" w:space="0"/>
              <w:right w:val="single" w:color="000000" w:sz="8" w:space="0"/>
            </w:tcBorders>
            <w:shd w:val="clear" w:color="auto" w:fill="auto"/>
            <w:vAlign w:val="center"/>
          </w:tcPr>
          <w:p w14:paraId="16E1A138">
            <w:pPr>
              <w:jc w:val="center"/>
              <w:rPr>
                <w:rFonts w:hint="eastAsia" w:ascii="宋体" w:hAnsi="宋体" w:eastAsia="宋体" w:cs="宋体"/>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名称</w:t>
            </w:r>
          </w:p>
        </w:tc>
        <w:tc>
          <w:tcPr>
            <w:tcW w:w="1215" w:type="dxa"/>
            <w:tcBorders>
              <w:top w:val="single" w:color="000000" w:sz="8" w:space="0"/>
              <w:left w:val="nil"/>
              <w:bottom w:val="single" w:color="auto" w:sz="4" w:space="0"/>
              <w:right w:val="single" w:color="000000" w:sz="8" w:space="0"/>
            </w:tcBorders>
            <w:shd w:val="clear" w:color="auto" w:fill="auto"/>
            <w:vAlign w:val="center"/>
          </w:tcPr>
          <w:p w14:paraId="7A68EF3B">
            <w:pPr>
              <w:keepNext w:val="0"/>
              <w:keepLines w:val="0"/>
              <w:widowControl/>
              <w:suppressLineNumbers w:val="0"/>
              <w:jc w:val="center"/>
              <w:textAlignment w:val="center"/>
              <w:rPr>
                <w:rFonts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类型</w:t>
            </w:r>
          </w:p>
        </w:tc>
        <w:tc>
          <w:tcPr>
            <w:tcW w:w="3435" w:type="dxa"/>
            <w:tcBorders>
              <w:top w:val="single" w:color="000000" w:sz="8" w:space="0"/>
              <w:left w:val="nil"/>
              <w:bottom w:val="single" w:color="auto" w:sz="4" w:space="0"/>
              <w:right w:val="single" w:color="000000" w:sz="8" w:space="0"/>
            </w:tcBorders>
            <w:shd w:val="clear" w:color="auto" w:fill="auto"/>
            <w:vAlign w:val="center"/>
          </w:tcPr>
          <w:p w14:paraId="28425D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参数</w:t>
            </w:r>
          </w:p>
        </w:tc>
        <w:tc>
          <w:tcPr>
            <w:tcW w:w="735" w:type="dxa"/>
            <w:tcBorders>
              <w:top w:val="single" w:color="000000" w:sz="8" w:space="0"/>
              <w:left w:val="nil"/>
              <w:bottom w:val="single" w:color="auto" w:sz="4" w:space="0"/>
              <w:right w:val="single" w:color="000000" w:sz="8" w:space="0"/>
            </w:tcBorders>
            <w:shd w:val="clear" w:color="auto" w:fill="auto"/>
            <w:vAlign w:val="center"/>
          </w:tcPr>
          <w:p w14:paraId="5F05D1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1005" w:type="dxa"/>
            <w:tcBorders>
              <w:top w:val="single" w:color="000000" w:sz="8" w:space="0"/>
              <w:left w:val="nil"/>
              <w:bottom w:val="single" w:color="auto" w:sz="4" w:space="0"/>
              <w:right w:val="single" w:color="000000" w:sz="8" w:space="0"/>
            </w:tcBorders>
            <w:shd w:val="clear" w:color="auto" w:fill="auto"/>
            <w:vAlign w:val="center"/>
          </w:tcPr>
          <w:p w14:paraId="46DCDA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1275" w:type="dxa"/>
            <w:tcBorders>
              <w:top w:val="single" w:color="000000" w:sz="8" w:space="0"/>
              <w:left w:val="nil"/>
              <w:bottom w:val="single" w:color="auto" w:sz="4" w:space="0"/>
              <w:right w:val="single" w:color="000000" w:sz="8" w:space="0"/>
            </w:tcBorders>
            <w:shd w:val="clear" w:color="auto" w:fill="auto"/>
            <w:vAlign w:val="center"/>
          </w:tcPr>
          <w:p w14:paraId="737839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备注</w:t>
            </w:r>
          </w:p>
        </w:tc>
      </w:tr>
      <w:tr w14:paraId="2884A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jc w:val="center"/>
        </w:trPr>
        <w:tc>
          <w:tcPr>
            <w:tcW w:w="15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02AC9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机器人视觉检测生产线</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24CFB2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运算单元</w:t>
            </w:r>
          </w:p>
        </w:tc>
        <w:tc>
          <w:tcPr>
            <w:tcW w:w="3435" w:type="dxa"/>
            <w:tcBorders>
              <w:top w:val="single" w:color="auto" w:sz="4" w:space="0"/>
              <w:left w:val="single" w:color="auto" w:sz="4" w:space="0"/>
              <w:bottom w:val="single" w:color="auto" w:sz="4" w:space="0"/>
              <w:right w:val="single" w:color="000000" w:sz="8" w:space="0"/>
            </w:tcBorders>
            <w:shd w:val="clear" w:color="auto" w:fill="auto"/>
            <w:vAlign w:val="center"/>
          </w:tcPr>
          <w:p w14:paraId="1F3FF9F4">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（1）处理器：内存：8G工控内存；硬盘：128G固态硬盘；网口：千兆网口</w:t>
            </w:r>
          </w:p>
          <w:p w14:paraId="1D741D0D">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（2）支持海康威视Vision Master视觉软件，采用图形化交互界面，拖拽式操作能快速搭建视觉方案，满足机器视觉应用领域中定位、测量、识别、检测等需求；</w:t>
            </w:r>
          </w:p>
          <w:p w14:paraId="4E97702D">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（3）内置的软件库包括物体分类识别、目标检测、缺陷检测、尺寸测量等，满足基础应用与开发教学；</w:t>
            </w:r>
          </w:p>
          <w:p w14:paraId="27D03618">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（4）支持多种类机器视觉、机器人、复杂传感器与智能控制等关键技术的组合实验，可支持多种不同模块同时联动实验。</w:t>
            </w:r>
          </w:p>
        </w:tc>
        <w:tc>
          <w:tcPr>
            <w:tcW w:w="735" w:type="dxa"/>
            <w:tcBorders>
              <w:top w:val="single" w:color="auto" w:sz="4" w:space="0"/>
              <w:left w:val="nil"/>
              <w:bottom w:val="single" w:color="auto" w:sz="4" w:space="0"/>
              <w:right w:val="single" w:color="000000" w:sz="8" w:space="0"/>
            </w:tcBorders>
            <w:shd w:val="clear" w:color="auto" w:fill="auto"/>
            <w:vAlign w:val="center"/>
          </w:tcPr>
          <w:p w14:paraId="3689E4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005" w:type="dxa"/>
            <w:tcBorders>
              <w:top w:val="single" w:color="auto" w:sz="4" w:space="0"/>
              <w:left w:val="nil"/>
              <w:bottom w:val="single" w:color="auto" w:sz="4" w:space="0"/>
              <w:right w:val="single" w:color="000000" w:sz="8" w:space="0"/>
            </w:tcBorders>
            <w:shd w:val="clear" w:color="auto" w:fill="auto"/>
            <w:vAlign w:val="center"/>
          </w:tcPr>
          <w:p w14:paraId="4ADE57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275" w:type="dxa"/>
            <w:tcBorders>
              <w:top w:val="single" w:color="auto" w:sz="4" w:space="0"/>
              <w:left w:val="nil"/>
              <w:bottom w:val="single" w:color="auto" w:sz="4" w:space="0"/>
              <w:right w:val="single" w:color="000000" w:sz="8" w:space="0"/>
            </w:tcBorders>
            <w:shd w:val="clear" w:color="auto" w:fill="auto"/>
            <w:vAlign w:val="center"/>
          </w:tcPr>
          <w:p w14:paraId="5E4645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竞赛组委会提供</w:t>
            </w:r>
          </w:p>
        </w:tc>
      </w:tr>
      <w:tr w14:paraId="2825D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8" w:hRule="atLeast"/>
          <w:jc w:val="center"/>
        </w:trPr>
        <w:tc>
          <w:tcPr>
            <w:tcW w:w="15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21904D">
            <w:pPr>
              <w:jc w:val="center"/>
              <w:rPr>
                <w:rFonts w:hint="eastAsia" w:ascii="仿宋" w:hAnsi="仿宋" w:eastAsia="仿宋" w:cs="仿宋"/>
                <w:i w:val="0"/>
                <w:iCs w:val="0"/>
                <w:color w:val="000000"/>
                <w:sz w:val="24"/>
                <w:szCs w:val="24"/>
                <w:u w:val="none"/>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461CCB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相机</w:t>
            </w:r>
          </w:p>
        </w:tc>
        <w:tc>
          <w:tcPr>
            <w:tcW w:w="3435" w:type="dxa"/>
            <w:tcBorders>
              <w:top w:val="single" w:color="auto" w:sz="4" w:space="0"/>
              <w:left w:val="single" w:color="auto" w:sz="4" w:space="0"/>
              <w:bottom w:val="single" w:color="auto" w:sz="4" w:space="0"/>
              <w:right w:val="single" w:color="auto" w:sz="4" w:space="0"/>
            </w:tcBorders>
            <w:shd w:val="clear" w:color="auto" w:fill="auto"/>
            <w:vAlign w:val="center"/>
          </w:tcPr>
          <w:p w14:paraId="7C2BFDF7">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（1）600万像素 1/1.8” CMOS 千兆以太网工业面阵相机；</w:t>
            </w:r>
          </w:p>
          <w:p w14:paraId="5C2E1B46">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（2）分辨率：3072×2048；帧率：17 fps；</w:t>
            </w:r>
          </w:p>
          <w:p w14:paraId="6CE6944F">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（3）动态范围：71.3dB；</w:t>
            </w:r>
          </w:p>
          <w:p w14:paraId="3C483B96">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（4）增益：0dB～20dB；</w:t>
            </w:r>
          </w:p>
          <w:p w14:paraId="3C8DD091">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（5）曝光时间：27μs～2.5sec；</w:t>
            </w:r>
          </w:p>
          <w:p w14:paraId="6BD95E74">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（6）黑白/彩色：彩色；接口：GiGE。</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76F9A8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4DD369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43D615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竞赛组委会提供</w:t>
            </w:r>
          </w:p>
        </w:tc>
      </w:tr>
      <w:tr w14:paraId="11358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1" w:hRule="atLeast"/>
          <w:jc w:val="center"/>
        </w:trPr>
        <w:tc>
          <w:tcPr>
            <w:tcW w:w="15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0E7FB3">
            <w:pPr>
              <w:jc w:val="center"/>
              <w:rPr>
                <w:rFonts w:hint="eastAsia" w:ascii="仿宋" w:hAnsi="仿宋" w:eastAsia="仿宋" w:cs="仿宋"/>
                <w:i w:val="0"/>
                <w:iCs w:val="0"/>
                <w:color w:val="000000"/>
                <w:sz w:val="24"/>
                <w:szCs w:val="24"/>
                <w:u w:val="none"/>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1BE9AC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镜头</w:t>
            </w:r>
          </w:p>
        </w:tc>
        <w:tc>
          <w:tcPr>
            <w:tcW w:w="3435" w:type="dxa"/>
            <w:tcBorders>
              <w:top w:val="single" w:color="auto" w:sz="4" w:space="0"/>
              <w:left w:val="single" w:color="auto" w:sz="4" w:space="0"/>
              <w:bottom w:val="single" w:color="auto" w:sz="4" w:space="0"/>
              <w:right w:val="single" w:color="auto" w:sz="4" w:space="0"/>
            </w:tcBorders>
            <w:shd w:val="clear" w:color="auto" w:fill="auto"/>
            <w:vAlign w:val="center"/>
          </w:tcPr>
          <w:p w14:paraId="3F082FEF">
            <w:pPr>
              <w:keepNext w:val="0"/>
              <w:keepLines w:val="0"/>
              <w:widowControl/>
              <w:suppressLineNumbers w:val="0"/>
              <w:spacing w:line="240" w:lineRule="auto"/>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（1）固定焦距、手动光圈、六百万像素、FA镜头；</w:t>
            </w:r>
          </w:p>
          <w:p w14:paraId="101CEA13">
            <w:pPr>
              <w:keepNext w:val="0"/>
              <w:keepLines w:val="0"/>
              <w:widowControl/>
              <w:suppressLineNumbers w:val="0"/>
              <w:spacing w:line="240" w:lineRule="auto"/>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（2）焦距：12mm；</w:t>
            </w:r>
          </w:p>
          <w:p w14:paraId="5D8F1814">
            <w:pPr>
              <w:keepNext w:val="0"/>
              <w:keepLines w:val="0"/>
              <w:widowControl/>
              <w:suppressLineNumbers w:val="0"/>
              <w:spacing w:line="240" w:lineRule="auto"/>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（3）F数：F2.8～F16；</w:t>
            </w:r>
          </w:p>
          <w:p w14:paraId="0BE9E348">
            <w:pPr>
              <w:keepNext w:val="0"/>
              <w:keepLines w:val="0"/>
              <w:widowControl/>
              <w:suppressLineNumbers w:val="0"/>
              <w:spacing w:line="240" w:lineRule="auto"/>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（4）接口类型：C-Mount；</w:t>
            </w:r>
          </w:p>
          <w:p w14:paraId="2F1731E3">
            <w:pPr>
              <w:keepNext w:val="0"/>
              <w:keepLines w:val="0"/>
              <w:widowControl/>
              <w:suppressLineNumbers w:val="0"/>
              <w:spacing w:line="240" w:lineRule="auto"/>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（5）视场角：1/1.8”。</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1553D9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110D6E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6A1C67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竞赛组委会提供</w:t>
            </w:r>
          </w:p>
        </w:tc>
      </w:tr>
      <w:tr w14:paraId="6A969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5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6094B8">
            <w:pPr>
              <w:jc w:val="center"/>
              <w:rPr>
                <w:rFonts w:hint="eastAsia" w:ascii="仿宋" w:hAnsi="仿宋" w:eastAsia="仿宋" w:cs="仿宋"/>
                <w:i w:val="0"/>
                <w:iCs w:val="0"/>
                <w:color w:val="000000"/>
                <w:sz w:val="24"/>
                <w:szCs w:val="24"/>
                <w:u w:val="none"/>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77D3BF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光源</w:t>
            </w:r>
          </w:p>
        </w:tc>
        <w:tc>
          <w:tcPr>
            <w:tcW w:w="3435" w:type="dxa"/>
            <w:tcBorders>
              <w:top w:val="single" w:color="auto" w:sz="4" w:space="0"/>
              <w:left w:val="single" w:color="auto" w:sz="4" w:space="0"/>
              <w:bottom w:val="single" w:color="auto" w:sz="4" w:space="0"/>
              <w:right w:val="single" w:color="auto" w:sz="4" w:space="0"/>
            </w:tcBorders>
            <w:shd w:val="clear" w:color="auto" w:fill="auto"/>
            <w:vAlign w:val="center"/>
          </w:tcPr>
          <w:p w14:paraId="0B7D102A">
            <w:pPr>
              <w:keepNext w:val="0"/>
              <w:keepLines w:val="0"/>
              <w:widowControl/>
              <w:suppressLineNumbers w:val="0"/>
              <w:spacing w:line="240" w:lineRule="auto"/>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（1）LED类型：贴片LED；</w:t>
            </w:r>
          </w:p>
          <w:p w14:paraId="2DBE8FF5">
            <w:pPr>
              <w:keepNext w:val="0"/>
              <w:keepLines w:val="0"/>
              <w:widowControl/>
              <w:suppressLineNumbers w:val="0"/>
              <w:spacing w:line="240" w:lineRule="auto"/>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（2）颜色：白色；</w:t>
            </w:r>
          </w:p>
          <w:p w14:paraId="1AE65CF6">
            <w:pPr>
              <w:keepNext w:val="0"/>
              <w:keepLines w:val="0"/>
              <w:widowControl/>
              <w:suppressLineNumbers w:val="0"/>
              <w:spacing w:line="240" w:lineRule="auto"/>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（3）色温：6600K；</w:t>
            </w:r>
          </w:p>
          <w:p w14:paraId="1D39BB04">
            <w:pPr>
              <w:keepNext w:val="0"/>
              <w:keepLines w:val="0"/>
              <w:widowControl/>
              <w:suppressLineNumbers w:val="0"/>
              <w:spacing w:line="240" w:lineRule="auto"/>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（4）功率：14.4W；</w:t>
            </w:r>
          </w:p>
          <w:p w14:paraId="434EC700">
            <w:pPr>
              <w:keepNext w:val="0"/>
              <w:keepLines w:val="0"/>
              <w:widowControl/>
              <w:suppressLineNumbers w:val="0"/>
              <w:spacing w:line="240" w:lineRule="auto"/>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（5）输入电压：DC 24V max.；</w:t>
            </w:r>
          </w:p>
          <w:p w14:paraId="2384F418">
            <w:pPr>
              <w:keepNext w:val="0"/>
              <w:keepLines w:val="0"/>
              <w:widowControl/>
              <w:suppressLineNumbers w:val="0"/>
              <w:spacing w:line="240" w:lineRule="auto"/>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（6）外壳材质：铝合金（表面氧化发黑处理）；</w:t>
            </w:r>
          </w:p>
          <w:p w14:paraId="5C7F3F6B">
            <w:pPr>
              <w:keepNext w:val="0"/>
              <w:keepLines w:val="0"/>
              <w:widowControl/>
              <w:suppressLineNumbers w:val="0"/>
              <w:spacing w:line="240" w:lineRule="auto"/>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（7）使用温度和湿度：温度：0～40ºC，湿度：20～85%RH(非凝结)；</w:t>
            </w:r>
          </w:p>
          <w:p w14:paraId="4258208F">
            <w:pPr>
              <w:keepNext w:val="0"/>
              <w:keepLines w:val="0"/>
              <w:widowControl/>
              <w:suppressLineNumbers w:val="0"/>
              <w:spacing w:line="240" w:lineRule="auto"/>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（8）配套光源控制器。</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32FA2B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2FCB9A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09C0AF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竞赛组委会提供</w:t>
            </w:r>
          </w:p>
        </w:tc>
      </w:tr>
      <w:tr w14:paraId="0510A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7" w:hRule="atLeast"/>
          <w:jc w:val="center"/>
        </w:trPr>
        <w:tc>
          <w:tcPr>
            <w:tcW w:w="15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1428B7">
            <w:pPr>
              <w:jc w:val="center"/>
              <w:rPr>
                <w:rFonts w:hint="eastAsia" w:ascii="仿宋" w:hAnsi="仿宋" w:eastAsia="仿宋" w:cs="仿宋"/>
                <w:i w:val="0"/>
                <w:iCs w:val="0"/>
                <w:color w:val="000000"/>
                <w:sz w:val="24"/>
                <w:szCs w:val="24"/>
                <w:u w:val="none"/>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049E37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机器人</w:t>
            </w:r>
          </w:p>
        </w:tc>
        <w:tc>
          <w:tcPr>
            <w:tcW w:w="3435" w:type="dxa"/>
            <w:tcBorders>
              <w:top w:val="single" w:color="auto" w:sz="4" w:space="0"/>
              <w:left w:val="single" w:color="auto" w:sz="4" w:space="0"/>
              <w:bottom w:val="single" w:color="auto" w:sz="4" w:space="0"/>
              <w:right w:val="single" w:color="auto" w:sz="4" w:space="0"/>
            </w:tcBorders>
            <w:shd w:val="clear" w:color="auto" w:fill="auto"/>
            <w:vAlign w:val="center"/>
          </w:tcPr>
          <w:p w14:paraId="4CDA75A7">
            <w:pPr>
              <w:keepNext w:val="0"/>
              <w:keepLines w:val="0"/>
              <w:widowControl/>
              <w:suppressLineNumbers w:val="0"/>
              <w:spacing w:line="240" w:lineRule="auto"/>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（1）最大轴数：6；</w:t>
            </w:r>
          </w:p>
          <w:p w14:paraId="6B941879">
            <w:pPr>
              <w:keepNext w:val="0"/>
              <w:keepLines w:val="0"/>
              <w:widowControl/>
              <w:suppressLineNumbers w:val="0"/>
              <w:spacing w:line="240" w:lineRule="auto"/>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（2）最大负载：1kg；</w:t>
            </w:r>
          </w:p>
          <w:p w14:paraId="6D3E02E6">
            <w:pPr>
              <w:keepNext w:val="0"/>
              <w:keepLines w:val="0"/>
              <w:widowControl/>
              <w:suppressLineNumbers w:val="0"/>
              <w:spacing w:line="240" w:lineRule="auto"/>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（3）工作范围：410 mm；</w:t>
            </w:r>
          </w:p>
          <w:p w14:paraId="1A3EB7E0">
            <w:pPr>
              <w:keepNext w:val="0"/>
              <w:keepLines w:val="0"/>
              <w:widowControl/>
              <w:suppressLineNumbers w:val="0"/>
              <w:spacing w:line="240" w:lineRule="auto"/>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（4）重复定位精度：±0.5mm；</w:t>
            </w:r>
          </w:p>
          <w:p w14:paraId="300D8CDF">
            <w:pPr>
              <w:keepNext w:val="0"/>
              <w:keepLines w:val="0"/>
              <w:widowControl/>
              <w:suppressLineNumbers w:val="0"/>
              <w:spacing w:line="240" w:lineRule="auto"/>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（5）净重：2.72Kg；</w:t>
            </w:r>
          </w:p>
          <w:p w14:paraId="483898D1">
            <w:pPr>
              <w:keepNext w:val="0"/>
              <w:keepLines w:val="0"/>
              <w:widowControl/>
              <w:suppressLineNumbers w:val="0"/>
              <w:spacing w:line="240" w:lineRule="auto"/>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（6）底座尺寸：153mm×153 mm。</w:t>
            </w:r>
          </w:p>
          <w:p w14:paraId="2D50E90C">
            <w:pPr>
              <w:keepNext w:val="0"/>
              <w:keepLines w:val="0"/>
              <w:widowControl/>
              <w:suppressLineNumbers w:val="0"/>
              <w:spacing w:line="240" w:lineRule="auto"/>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（7）轴运动参数</w:t>
            </w:r>
          </w:p>
          <w:p w14:paraId="464FEAB4">
            <w:pPr>
              <w:keepNext w:val="0"/>
              <w:keepLines w:val="0"/>
              <w:widowControl/>
              <w:suppressLineNumbers w:val="0"/>
              <w:spacing w:line="240" w:lineRule="auto"/>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J1：±150°，最大速度：30°/s；</w:t>
            </w:r>
          </w:p>
          <w:p w14:paraId="004CD3FB">
            <w:pPr>
              <w:keepNext w:val="0"/>
              <w:keepLines w:val="0"/>
              <w:widowControl/>
              <w:suppressLineNumbers w:val="0"/>
              <w:spacing w:line="240" w:lineRule="auto"/>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J2：±90°，最大速度：60°/s；</w:t>
            </w:r>
          </w:p>
          <w:p w14:paraId="43E8A5EF">
            <w:pPr>
              <w:keepNext w:val="0"/>
              <w:keepLines w:val="0"/>
              <w:widowControl/>
              <w:suppressLineNumbers w:val="0"/>
              <w:spacing w:line="240" w:lineRule="auto"/>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J3：±90°，最大速度：25°/s；</w:t>
            </w:r>
          </w:p>
          <w:p w14:paraId="62A575E2">
            <w:pPr>
              <w:keepNext w:val="0"/>
              <w:keepLines w:val="0"/>
              <w:widowControl/>
              <w:suppressLineNumbers w:val="0"/>
              <w:spacing w:line="240" w:lineRule="auto"/>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J4：±150°，最大速度：100°/s；</w:t>
            </w:r>
          </w:p>
          <w:p w14:paraId="19CA825A">
            <w:pPr>
              <w:keepNext w:val="0"/>
              <w:keepLines w:val="0"/>
              <w:widowControl/>
              <w:suppressLineNumbers w:val="0"/>
              <w:spacing w:line="240" w:lineRule="auto"/>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J5：±90°，最大速度：30°/s；</w:t>
            </w:r>
          </w:p>
          <w:p w14:paraId="615EFF17">
            <w:pPr>
              <w:keepNext w:val="0"/>
              <w:keepLines w:val="0"/>
              <w:widowControl/>
              <w:suppressLineNumbers w:val="0"/>
              <w:spacing w:line="240" w:lineRule="auto"/>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J6：±150°，最大速度：60°/s。</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6BD77F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5A87CB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783F2D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竞赛组委会提供</w:t>
            </w:r>
          </w:p>
        </w:tc>
      </w:tr>
      <w:tr w14:paraId="1C397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0" w:hRule="atLeast"/>
          <w:jc w:val="center"/>
        </w:trPr>
        <w:tc>
          <w:tcPr>
            <w:tcW w:w="15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593CC3">
            <w:pPr>
              <w:jc w:val="center"/>
              <w:rPr>
                <w:rFonts w:hint="eastAsia" w:ascii="仿宋" w:hAnsi="仿宋" w:eastAsia="仿宋" w:cs="仿宋"/>
                <w:i w:val="0"/>
                <w:iCs w:val="0"/>
                <w:color w:val="000000"/>
                <w:sz w:val="24"/>
                <w:szCs w:val="24"/>
                <w:u w:val="none"/>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2C2316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输送线</w:t>
            </w:r>
          </w:p>
        </w:tc>
        <w:tc>
          <w:tcPr>
            <w:tcW w:w="3435" w:type="dxa"/>
            <w:tcBorders>
              <w:top w:val="single" w:color="auto" w:sz="4" w:space="0"/>
              <w:left w:val="single" w:color="auto" w:sz="4" w:space="0"/>
              <w:bottom w:val="single" w:color="auto" w:sz="4" w:space="0"/>
              <w:right w:val="single" w:color="auto" w:sz="4" w:space="0"/>
            </w:tcBorders>
            <w:shd w:val="clear" w:color="auto" w:fill="auto"/>
            <w:vAlign w:val="center"/>
          </w:tcPr>
          <w:p w14:paraId="68EEE522">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（1）尺寸和材质：长度500mm×宽度100mm，铝合金材质；运行负载：500g；最大运行速度：100mm/s；</w:t>
            </w:r>
          </w:p>
          <w:p w14:paraId="2E6E503A">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（2）前后端各安装有一组光电传感器，前端光电传感器感应物体经过，并给视觉系统发送触发拍照信号，后端光电传感器感应物体到达，给机器人发送抓取信号。</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242DA7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44523F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6F5348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竞赛组委会提供</w:t>
            </w:r>
          </w:p>
        </w:tc>
      </w:tr>
      <w:tr w14:paraId="1D52A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jc w:val="center"/>
        </w:trPr>
        <w:tc>
          <w:tcPr>
            <w:tcW w:w="15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A15683E">
            <w:pPr>
              <w:jc w:val="center"/>
              <w:rPr>
                <w:rFonts w:hint="eastAsia" w:ascii="仿宋" w:hAnsi="仿宋" w:eastAsia="仿宋" w:cs="仿宋"/>
                <w:b/>
                <w:bCs/>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人工智能综合实验箱</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70EC26D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运算单元</w:t>
            </w:r>
          </w:p>
        </w:tc>
        <w:tc>
          <w:tcPr>
            <w:tcW w:w="3435" w:type="dxa"/>
            <w:tcBorders>
              <w:top w:val="single" w:color="auto" w:sz="4" w:space="0"/>
              <w:left w:val="single" w:color="auto" w:sz="4" w:space="0"/>
              <w:bottom w:val="single" w:color="auto" w:sz="4" w:space="0"/>
              <w:right w:val="single" w:color="auto" w:sz="4" w:space="0"/>
            </w:tcBorders>
            <w:shd w:val="clear" w:color="auto" w:fill="auto"/>
            <w:vAlign w:val="center"/>
          </w:tcPr>
          <w:p w14:paraId="02496327">
            <w:pPr>
              <w:keepNext w:val="0"/>
              <w:keepLines w:val="0"/>
              <w:widowControl/>
              <w:suppressLineNumbers w:val="0"/>
              <w:spacing w:line="240" w:lineRule="auto"/>
              <w:jc w:val="both"/>
              <w:textAlignment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（1）边缘计算终端：CPU：6-core NVIDIA Carmel ARM v8.264 bit CPU；内存：8G；硬盘：128G；GPU：NVIDIA Volta架构，搭载384NVIDIA CUDAcores 和48Tensor cores；显存：8GB128-bit LPDDR4x51.2GB/s；连接：Gigabit以太网；显示：HDMI和DP；</w:t>
            </w:r>
          </w:p>
          <w:p w14:paraId="3457C7CA">
            <w:pPr>
              <w:keepNext w:val="0"/>
              <w:keepLines w:val="0"/>
              <w:widowControl/>
              <w:suppressLineNumbers w:val="0"/>
              <w:jc w:val="both"/>
              <w:textAlignment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（2）需内置Python3.5以上版本的运行环境，且实验代码需在Jupyter Notebook环境下进行，方便教师开展教学；</w:t>
            </w:r>
          </w:p>
          <w:p w14:paraId="50AB2167">
            <w:pPr>
              <w:keepNext w:val="0"/>
              <w:keepLines w:val="0"/>
              <w:widowControl/>
              <w:suppressLineNumbers w:val="0"/>
              <w:jc w:val="both"/>
              <w:textAlignment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（3）内置的AI算法库至少包括物体分类识别、目标检测、人脸识别、语音处理，满足基础应用与开发教学；</w:t>
            </w:r>
          </w:p>
          <w:p w14:paraId="5E769704">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sz w:val="24"/>
                <w:szCs w:val="24"/>
                <w:lang w:val="en-US" w:eastAsia="zh-CN"/>
              </w:rPr>
              <w:t>（4）需部署基于Tensorrt加速的YOLOV5目标检测和实例分割模型。</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3738FF0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44240B6A">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1</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6E211110">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竞赛组委会提供</w:t>
            </w:r>
          </w:p>
        </w:tc>
      </w:tr>
      <w:tr w14:paraId="7222B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15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537BDF">
            <w:pPr>
              <w:jc w:val="center"/>
              <w:rPr>
                <w:rFonts w:hint="eastAsia" w:ascii="仿宋" w:hAnsi="仿宋" w:eastAsia="仿宋" w:cs="仿宋"/>
                <w:b/>
                <w:bCs/>
                <w:i w:val="0"/>
                <w:iCs w:val="0"/>
                <w:color w:val="000000"/>
                <w:sz w:val="24"/>
                <w:szCs w:val="24"/>
                <w:u w:val="none"/>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0E295FA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计算机视觉系统</w:t>
            </w:r>
          </w:p>
        </w:tc>
        <w:tc>
          <w:tcPr>
            <w:tcW w:w="3435" w:type="dxa"/>
            <w:tcBorders>
              <w:top w:val="single" w:color="auto" w:sz="4" w:space="0"/>
              <w:left w:val="single" w:color="auto" w:sz="4" w:space="0"/>
              <w:bottom w:val="single" w:color="auto" w:sz="4" w:space="0"/>
              <w:right w:val="single" w:color="auto" w:sz="4" w:space="0"/>
            </w:tcBorders>
            <w:shd w:val="clear" w:color="auto" w:fill="auto"/>
            <w:vAlign w:val="center"/>
          </w:tcPr>
          <w:p w14:paraId="48BEC9D9">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（1）2D视觉系统：分辨率：640×480；帧率：30fps；对焦方式：手动对焦；支架式安装，支持折叠收纳；</w:t>
            </w:r>
          </w:p>
          <w:p w14:paraId="230AD12A">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（2）深度相机：深度流输出分辨率：1280×720；深度流输出帧速率：30fps；RGB传感器分辨率：1920×1080；RGB传感器帧速率：30fps；</w:t>
            </w:r>
          </w:p>
          <w:p w14:paraId="2F1511DE">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（3）二自由度云台为电动控制方式，采用双舵机设计，可通过软件进行姿态控制；</w:t>
            </w:r>
          </w:p>
          <w:p w14:paraId="0792664C">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（4）深度相机安装于二自由度云台，可进行±90°旋转和110°俯仰，可完成人脸识别、动态目标跟踪等功能。</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3AF9FA26">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台</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69C0518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1</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60A11277">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竞赛组委会提供</w:t>
            </w:r>
          </w:p>
        </w:tc>
      </w:tr>
      <w:tr w14:paraId="63A63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15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CD0BFF">
            <w:pPr>
              <w:jc w:val="center"/>
              <w:rPr>
                <w:rFonts w:hint="eastAsia" w:ascii="仿宋" w:hAnsi="仿宋" w:eastAsia="仿宋" w:cs="仿宋"/>
                <w:b/>
                <w:bCs/>
                <w:i w:val="0"/>
                <w:iCs w:val="0"/>
                <w:color w:val="000000"/>
                <w:sz w:val="24"/>
                <w:szCs w:val="24"/>
                <w:u w:val="none"/>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0FCA409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语音识别系统</w:t>
            </w:r>
          </w:p>
        </w:tc>
        <w:tc>
          <w:tcPr>
            <w:tcW w:w="3435" w:type="dxa"/>
            <w:tcBorders>
              <w:top w:val="single" w:color="auto" w:sz="4" w:space="0"/>
              <w:left w:val="single" w:color="auto" w:sz="4" w:space="0"/>
              <w:bottom w:val="single" w:color="auto" w:sz="4" w:space="0"/>
              <w:right w:val="single" w:color="auto" w:sz="4" w:space="0"/>
            </w:tcBorders>
            <w:shd w:val="clear" w:color="auto" w:fill="auto"/>
            <w:vAlign w:val="center"/>
          </w:tcPr>
          <w:p w14:paraId="6655F36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麦克风阵列：具备360°环绕拾音模式、声源定位功能，开放函数接口，支持用户自定义语音指令。</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55917C7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509410C1">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1</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24F75337">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竞赛组委会提供</w:t>
            </w:r>
          </w:p>
        </w:tc>
      </w:tr>
      <w:tr w14:paraId="7FEF3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15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84C08D">
            <w:pPr>
              <w:jc w:val="center"/>
              <w:rPr>
                <w:rFonts w:hint="eastAsia" w:ascii="仿宋" w:hAnsi="仿宋" w:eastAsia="仿宋" w:cs="仿宋"/>
                <w:b/>
                <w:bCs/>
                <w:i w:val="0"/>
                <w:iCs w:val="0"/>
                <w:color w:val="000000"/>
                <w:sz w:val="24"/>
                <w:szCs w:val="24"/>
                <w:u w:val="none"/>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6475F80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机器人</w:t>
            </w:r>
          </w:p>
        </w:tc>
        <w:tc>
          <w:tcPr>
            <w:tcW w:w="3435" w:type="dxa"/>
            <w:tcBorders>
              <w:top w:val="single" w:color="auto" w:sz="4" w:space="0"/>
              <w:left w:val="single" w:color="auto" w:sz="4" w:space="0"/>
              <w:bottom w:val="single" w:color="auto" w:sz="4" w:space="0"/>
              <w:right w:val="single" w:color="auto" w:sz="4" w:space="0"/>
            </w:tcBorders>
            <w:shd w:val="clear" w:color="auto" w:fill="auto"/>
            <w:vAlign w:val="center"/>
          </w:tcPr>
          <w:p w14:paraId="15415C5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（1）机械手臂：有效抓取范围：半径15cm；自由度：5自由度加夹持臂；末端夹具：两指夹爪；</w:t>
            </w:r>
          </w:p>
          <w:p w14:paraId="6566001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（2）机械手臂提供运动学正逆解算法，并开放全部源代码，支持进行关节控制原理的学习；</w:t>
            </w:r>
          </w:p>
          <w:p w14:paraId="58E3D11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（3）安装面板需为机械手臂提供一键启动和复位按钮，控制机械手臂自动抬起和回到收纳位置，方便开展教学；</w:t>
            </w:r>
          </w:p>
          <w:p w14:paraId="7B2E9E4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（4）支持通过语音模块控制机械臂的动作，如向上、向下、往左、往右等功能。</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062D97D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24643468">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1</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0BEFC66E">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竞赛组委会提供</w:t>
            </w:r>
          </w:p>
        </w:tc>
      </w:tr>
      <w:tr w14:paraId="027F8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15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9CA8FB">
            <w:pPr>
              <w:jc w:val="center"/>
              <w:rPr>
                <w:rFonts w:hint="eastAsia" w:ascii="仿宋" w:hAnsi="仿宋" w:eastAsia="仿宋" w:cs="仿宋"/>
                <w:b/>
                <w:bCs/>
                <w:i w:val="0"/>
                <w:iCs w:val="0"/>
                <w:color w:val="000000"/>
                <w:sz w:val="24"/>
                <w:szCs w:val="24"/>
                <w:u w:val="none"/>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6C7796B4">
            <w:pPr>
              <w:pStyle w:val="4"/>
              <w:bidi w:val="0"/>
              <w:ind w:left="0" w:leftChars="0" w:firstLine="0" w:firstLineChars="0"/>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嵌入式传感器</w:t>
            </w:r>
          </w:p>
        </w:tc>
        <w:tc>
          <w:tcPr>
            <w:tcW w:w="3435" w:type="dxa"/>
            <w:tcBorders>
              <w:top w:val="single" w:color="auto" w:sz="4" w:space="0"/>
              <w:left w:val="single" w:color="auto" w:sz="4" w:space="0"/>
              <w:bottom w:val="single" w:color="auto" w:sz="4" w:space="0"/>
              <w:right w:val="single" w:color="auto" w:sz="4" w:space="0"/>
            </w:tcBorders>
            <w:shd w:val="clear" w:color="auto" w:fill="auto"/>
            <w:vAlign w:val="center"/>
          </w:tcPr>
          <w:p w14:paraId="40C3BCD6">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（1）提供超声波传感器、人体检测传感器、温湿度传感器、心率传感器、气压传感器、数码管、蓝牙模块、陀螺仪、声音检测传感器、光线检测传感器等组件；</w:t>
            </w:r>
          </w:p>
          <w:p w14:paraId="43578741">
            <w:pP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sz w:val="24"/>
                <w:szCs w:val="24"/>
                <w:lang w:val="en-US" w:eastAsia="zh-CN"/>
              </w:rPr>
              <w:t>（2）支持通过语音模块控制传感器的动作，如开灯、关灯、打开风扇、关闭风扇、检测温度等功能。</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2BCE694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61C1AE21">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1</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2B50AF9C">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竞赛组委会提供</w:t>
            </w:r>
          </w:p>
        </w:tc>
      </w:tr>
      <w:tr w14:paraId="7869B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7FA565A4">
            <w:pPr>
              <w:jc w:val="center"/>
              <w:rPr>
                <w:rFonts w:hint="eastAsia" w:ascii="仿宋" w:hAnsi="仿宋" w:eastAsia="仿宋" w:cs="仿宋"/>
                <w:b/>
                <w:bCs/>
                <w:i w:val="0"/>
                <w:iCs w:val="0"/>
                <w:color w:val="000000"/>
                <w:kern w:val="2"/>
                <w:sz w:val="24"/>
                <w:szCs w:val="24"/>
                <w:u w:val="none"/>
                <w:lang w:val="en-US" w:eastAsia="zh-CN" w:bidi="ar-SA"/>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5A7AD8C0">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电脑显示器</w:t>
            </w:r>
          </w:p>
        </w:tc>
        <w:tc>
          <w:tcPr>
            <w:tcW w:w="3435" w:type="dxa"/>
            <w:tcBorders>
              <w:top w:val="single" w:color="auto" w:sz="4" w:space="0"/>
              <w:left w:val="single" w:color="auto" w:sz="4" w:space="0"/>
              <w:bottom w:val="single" w:color="auto" w:sz="4" w:space="0"/>
              <w:right w:val="single" w:color="auto" w:sz="4" w:space="0"/>
            </w:tcBorders>
            <w:shd w:val="clear" w:color="auto" w:fill="auto"/>
            <w:vAlign w:val="center"/>
          </w:tcPr>
          <w:p w14:paraId="4F7D05F2">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屏幕尺寸：17寸以上，显示分辨率不低于1920x1080，接口：HDMI</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48F65C6A">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台</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4ED8BF9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1</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5437DAD3">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竞赛组委会提供</w:t>
            </w:r>
          </w:p>
        </w:tc>
      </w:tr>
      <w:tr w14:paraId="6005A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181A940D">
            <w:pPr>
              <w:jc w:val="center"/>
              <w:rPr>
                <w:rFonts w:hint="eastAsia" w:ascii="仿宋" w:hAnsi="仿宋" w:eastAsia="仿宋" w:cs="仿宋"/>
                <w:b/>
                <w:bCs/>
                <w:i w:val="0"/>
                <w:iCs w:val="0"/>
                <w:color w:val="000000"/>
                <w:sz w:val="24"/>
                <w:szCs w:val="24"/>
                <w:u w:val="none"/>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7667D0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键盘</w:t>
            </w:r>
          </w:p>
        </w:tc>
        <w:tc>
          <w:tcPr>
            <w:tcW w:w="3435" w:type="dxa"/>
            <w:tcBorders>
              <w:top w:val="single" w:color="auto" w:sz="4" w:space="0"/>
              <w:left w:val="single" w:color="auto" w:sz="4" w:space="0"/>
              <w:bottom w:val="single" w:color="auto" w:sz="4" w:space="0"/>
              <w:right w:val="single" w:color="auto" w:sz="4" w:space="0"/>
            </w:tcBorders>
            <w:shd w:val="clear" w:color="auto" w:fill="auto"/>
            <w:vAlign w:val="center"/>
          </w:tcPr>
          <w:p w14:paraId="262ED6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键盘鼠标套装</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5BE30E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636A5B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3BF499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竞赛组委会提供</w:t>
            </w:r>
          </w:p>
        </w:tc>
      </w:tr>
      <w:tr w14:paraId="7E27C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69B565B8">
            <w:pPr>
              <w:jc w:val="center"/>
              <w:rPr>
                <w:rFonts w:hint="eastAsia" w:ascii="仿宋" w:hAnsi="仿宋" w:eastAsia="仿宋" w:cs="仿宋"/>
                <w:b/>
                <w:bCs/>
                <w:i w:val="0"/>
                <w:iCs w:val="0"/>
                <w:color w:val="000000"/>
                <w:sz w:val="24"/>
                <w:szCs w:val="24"/>
                <w:u w:val="none"/>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0C4641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电脑主机</w:t>
            </w:r>
          </w:p>
        </w:tc>
        <w:tc>
          <w:tcPr>
            <w:tcW w:w="3435" w:type="dxa"/>
            <w:tcBorders>
              <w:top w:val="single" w:color="auto" w:sz="4" w:space="0"/>
              <w:left w:val="single" w:color="auto" w:sz="4" w:space="0"/>
              <w:bottom w:val="single" w:color="auto" w:sz="4" w:space="0"/>
              <w:right w:val="single" w:color="auto" w:sz="4" w:space="0"/>
            </w:tcBorders>
            <w:shd w:val="clear" w:color="auto" w:fill="auto"/>
            <w:vAlign w:val="center"/>
          </w:tcPr>
          <w:p w14:paraId="550FD7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处理器：酷睿i5；内存：8G及以上；硬盘：500G以上硬盘；网口：千兆网口;</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14:paraId="19D940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01527F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5E7832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竞赛组委会提供</w:t>
            </w:r>
          </w:p>
        </w:tc>
      </w:tr>
    </w:tbl>
    <w:p w14:paraId="316B0777">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eastAsia" w:ascii="Times New Roman" w:hAnsi="Times New Roman" w:eastAsia="仿宋_GB2312" w:cstheme="minorBidi"/>
          <w:color w:val="000000"/>
          <w:kern w:val="0"/>
          <w:sz w:val="28"/>
          <w:szCs w:val="28"/>
          <w:u w:color="000000"/>
          <w:lang w:val="en-US" w:eastAsia="zh-CN" w:bidi="ar-SA"/>
        </w:rPr>
      </w:pPr>
      <w:r>
        <w:rPr>
          <w:rFonts w:hint="eastAsia" w:ascii="Times New Roman" w:hAnsi="Times New Roman" w:eastAsia="仿宋_GB2312" w:cstheme="minorBidi"/>
          <w:color w:val="000000"/>
          <w:kern w:val="0"/>
          <w:sz w:val="28"/>
          <w:szCs w:val="28"/>
          <w:u w:color="000000"/>
          <w:lang w:val="en-US" w:eastAsia="zh-CN" w:bidi="ar-SA"/>
        </w:rPr>
        <w:t>（2）竞赛软件配置要求</w:t>
      </w:r>
    </w:p>
    <w:tbl>
      <w:tblPr>
        <w:tblStyle w:val="14"/>
        <w:tblW w:w="891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48"/>
        <w:gridCol w:w="5103"/>
        <w:gridCol w:w="2268"/>
      </w:tblGrid>
      <w:tr w14:paraId="2BD189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8" w:type="dxa"/>
            <w:vAlign w:val="center"/>
          </w:tcPr>
          <w:p w14:paraId="1D5BC078">
            <w:pPr>
              <w:snapToGrid w:val="0"/>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类型</w:t>
            </w:r>
          </w:p>
        </w:tc>
        <w:tc>
          <w:tcPr>
            <w:tcW w:w="5103" w:type="dxa"/>
            <w:vAlign w:val="center"/>
          </w:tcPr>
          <w:p w14:paraId="7E37B08C">
            <w:pPr>
              <w:snapToGrid w:val="0"/>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配置参数</w:t>
            </w:r>
          </w:p>
        </w:tc>
        <w:tc>
          <w:tcPr>
            <w:tcW w:w="2268" w:type="dxa"/>
            <w:vAlign w:val="center"/>
          </w:tcPr>
          <w:p w14:paraId="6106CF22">
            <w:pPr>
              <w:snapToGrid w:val="0"/>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说明</w:t>
            </w:r>
          </w:p>
        </w:tc>
      </w:tr>
      <w:tr w14:paraId="44CDF3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8" w:type="dxa"/>
            <w:vAlign w:val="center"/>
          </w:tcPr>
          <w:p w14:paraId="4C041CE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操作系统</w:t>
            </w:r>
          </w:p>
        </w:tc>
        <w:tc>
          <w:tcPr>
            <w:tcW w:w="5103" w:type="dxa"/>
            <w:vAlign w:val="center"/>
          </w:tcPr>
          <w:p w14:paraId="7E9D94B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linux操作系统； </w:t>
            </w:r>
          </w:p>
        </w:tc>
        <w:tc>
          <w:tcPr>
            <w:tcW w:w="2268" w:type="dxa"/>
            <w:vAlign w:val="center"/>
          </w:tcPr>
          <w:p w14:paraId="565896F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竞赛组委会提供</w:t>
            </w:r>
          </w:p>
        </w:tc>
      </w:tr>
      <w:tr w14:paraId="5400EF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92" w:hRule="atLeast"/>
          <w:jc w:val="center"/>
        </w:trPr>
        <w:tc>
          <w:tcPr>
            <w:tcW w:w="1548" w:type="dxa"/>
            <w:vAlign w:val="center"/>
          </w:tcPr>
          <w:p w14:paraId="6A92AC8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应用软件</w:t>
            </w:r>
          </w:p>
        </w:tc>
        <w:tc>
          <w:tcPr>
            <w:tcW w:w="5103" w:type="dxa"/>
            <w:vAlign w:val="center"/>
          </w:tcPr>
          <w:p w14:paraId="175F744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安装谷歌浏览器；预装搜狗等中文输入法和英文输入法。</w:t>
            </w:r>
          </w:p>
        </w:tc>
        <w:tc>
          <w:tcPr>
            <w:tcW w:w="2268" w:type="dxa"/>
            <w:vAlign w:val="center"/>
          </w:tcPr>
          <w:p w14:paraId="686FE8B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竞赛组委会提供</w:t>
            </w:r>
          </w:p>
        </w:tc>
      </w:tr>
      <w:tr w14:paraId="25EDB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1" w:hRule="atLeast"/>
          <w:jc w:val="center"/>
        </w:trPr>
        <w:tc>
          <w:tcPr>
            <w:tcW w:w="1548" w:type="dxa"/>
            <w:vAlign w:val="center"/>
          </w:tcPr>
          <w:p w14:paraId="7846B6C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理论竞赛平台</w:t>
            </w:r>
          </w:p>
        </w:tc>
        <w:tc>
          <w:tcPr>
            <w:tcW w:w="5103" w:type="dxa"/>
            <w:vAlign w:val="center"/>
          </w:tcPr>
          <w:p w14:paraId="0689E47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 “人工智能训练师理论竞赛”操作平台</w:t>
            </w:r>
          </w:p>
        </w:tc>
        <w:tc>
          <w:tcPr>
            <w:tcW w:w="2268" w:type="dxa"/>
            <w:vAlign w:val="center"/>
          </w:tcPr>
          <w:p w14:paraId="4B03945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竞赛组委会提供</w:t>
            </w:r>
          </w:p>
        </w:tc>
      </w:tr>
    </w:tbl>
    <w:p w14:paraId="0DBD3DBF">
      <w:pPr>
        <w:pStyle w:val="10"/>
        <w:rPr>
          <w:rFonts w:hint="eastAsia"/>
          <w:lang w:val="en-US" w:eastAsia="zh-CN"/>
        </w:rPr>
      </w:pPr>
    </w:p>
    <w:p w14:paraId="01EAEC0D">
      <w:pPr>
        <w:pStyle w:val="3"/>
        <w:keepNext/>
        <w:keepLines/>
        <w:pageBreakBefore w:val="0"/>
        <w:widowControl w:val="0"/>
        <w:kinsoku/>
        <w:wordWrap/>
        <w:overflowPunct/>
        <w:topLinePunct w:val="0"/>
        <w:autoSpaceDE/>
        <w:autoSpaceDN/>
        <w:bidi w:val="0"/>
        <w:adjustRightInd/>
        <w:snapToGrid/>
        <w:spacing w:before="157" w:beforeLines="50" w:after="157" w:afterLines="50" w:line="560" w:lineRule="exact"/>
        <w:ind w:firstLine="643"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六、竞赛成绩及评分标准</w:t>
      </w:r>
    </w:p>
    <w:p w14:paraId="2AF8A4A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仿宋_GB2312" w:cstheme="minorBidi"/>
          <w:b/>
          <w:bCs/>
          <w:color w:val="000000"/>
          <w:kern w:val="0"/>
          <w:sz w:val="28"/>
          <w:szCs w:val="28"/>
          <w:u w:color="000000"/>
          <w:lang w:val="en-US" w:eastAsia="zh-CN" w:bidi="ar-SA"/>
        </w:rPr>
      </w:pPr>
      <w:r>
        <w:rPr>
          <w:rFonts w:hint="eastAsia" w:ascii="Times New Roman" w:hAnsi="Times New Roman" w:eastAsia="仿宋_GB2312" w:cstheme="minorBidi"/>
          <w:b/>
          <w:bCs/>
          <w:color w:val="000000"/>
          <w:kern w:val="0"/>
          <w:sz w:val="28"/>
          <w:szCs w:val="28"/>
          <w:u w:color="000000"/>
          <w:lang w:val="en-US" w:eastAsia="zh-CN" w:bidi="ar-SA"/>
        </w:rPr>
        <w:t>（一）成绩评定</w:t>
      </w:r>
    </w:p>
    <w:p w14:paraId="2249562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2" w:firstLineChars="200"/>
        <w:textAlignment w:val="auto"/>
        <w:rPr>
          <w:rFonts w:hint="eastAsia" w:ascii="仿宋_GB2312" w:hAnsi="仿宋_GB2312" w:eastAsia="仿宋_GB2312" w:cs="仿宋_GB2312"/>
          <w:b/>
          <w:bCs/>
          <w:color w:val="000000"/>
          <w:kern w:val="0"/>
          <w:sz w:val="28"/>
          <w:szCs w:val="28"/>
          <w:u w:color="000000"/>
          <w:lang w:val="en-US" w:eastAsia="zh-CN" w:bidi="ar-SA"/>
        </w:rPr>
      </w:pPr>
      <w:r>
        <w:rPr>
          <w:rFonts w:hint="eastAsia" w:ascii="仿宋_GB2312" w:hAnsi="仿宋_GB2312" w:eastAsia="仿宋_GB2312" w:cs="仿宋_GB2312"/>
          <w:b/>
          <w:bCs/>
          <w:color w:val="000000"/>
          <w:kern w:val="0"/>
          <w:sz w:val="28"/>
          <w:szCs w:val="28"/>
          <w:u w:color="000000"/>
          <w:lang w:val="en-US" w:eastAsia="zh-CN" w:bidi="ar-SA"/>
        </w:rPr>
        <w:t>1.两项赛事晋级资格要求</w:t>
      </w:r>
    </w:p>
    <w:p w14:paraId="3544E0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heme="minorBidi"/>
          <w:color w:val="000000"/>
          <w:kern w:val="0"/>
          <w:sz w:val="28"/>
          <w:szCs w:val="28"/>
          <w:u w:color="000000"/>
          <w:lang w:val="en-US" w:eastAsia="zh-CN" w:bidi="ar-SA"/>
        </w:rPr>
      </w:pPr>
      <w:r>
        <w:rPr>
          <w:rFonts w:hint="eastAsia" w:ascii="Times New Roman" w:hAnsi="Times New Roman" w:eastAsia="仿宋_GB2312" w:cstheme="minorBidi"/>
          <w:color w:val="000000"/>
          <w:kern w:val="0"/>
          <w:sz w:val="28"/>
          <w:szCs w:val="28"/>
          <w:u w:color="000000"/>
          <w:lang w:val="en-US" w:eastAsia="zh-CN" w:bidi="ar-SA"/>
        </w:rPr>
        <w:t>知识理论和操作技能比赛所有参赛人员都必须参加。</w:t>
      </w:r>
    </w:p>
    <w:p w14:paraId="1EE37F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b/>
          <w:bCs/>
          <w:color w:val="000000"/>
          <w:kern w:val="0"/>
          <w:sz w:val="28"/>
          <w:szCs w:val="28"/>
          <w:u w:color="000000"/>
          <w:lang w:val="en-US" w:eastAsia="zh-CN" w:bidi="ar-SA"/>
        </w:rPr>
      </w:pPr>
      <w:r>
        <w:rPr>
          <w:rFonts w:hint="eastAsia" w:ascii="仿宋_GB2312" w:hAnsi="仿宋_GB2312" w:eastAsia="仿宋_GB2312" w:cs="仿宋_GB2312"/>
          <w:b/>
          <w:bCs/>
          <w:color w:val="000000"/>
          <w:kern w:val="0"/>
          <w:sz w:val="28"/>
          <w:szCs w:val="28"/>
          <w:u w:color="000000"/>
          <w:lang w:val="en-US" w:eastAsia="zh-CN" w:bidi="ar-SA"/>
        </w:rPr>
        <w:t>2.成绩合成</w:t>
      </w:r>
    </w:p>
    <w:p w14:paraId="721FC8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ascii="仿宋_GB2312" w:hAnsi="仿宋_GB2312" w:eastAsia="仿宋_GB2312" w:cs="仿宋_GB2312"/>
          <w:color w:val="000000"/>
          <w:kern w:val="0"/>
          <w:sz w:val="28"/>
          <w:szCs w:val="28"/>
          <w:u w:color="000000"/>
          <w:lang w:val="en-US" w:eastAsia="zh-CN" w:bidi="ar-SA"/>
        </w:rPr>
      </w:pPr>
      <w:r>
        <w:rPr>
          <w:rFonts w:hint="eastAsia" w:ascii="仿宋_GB2312" w:hAnsi="仿宋_GB2312" w:eastAsia="仿宋_GB2312" w:cs="仿宋_GB2312"/>
          <w:color w:val="000000"/>
          <w:kern w:val="0"/>
          <w:sz w:val="28"/>
          <w:szCs w:val="28"/>
          <w:u w:color="000000"/>
          <w:lang w:val="en-US" w:eastAsia="zh-CN" w:bidi="ar-SA"/>
        </w:rPr>
        <w:t>（1）每位选手成绩=知识理论个人成绩*20%+操作技能个人成绩*80%（总分100分）;如总成绩相同者，技能操作成绩高者，名次在前。若以上成绩均相同，则技能操作用时短者，名次在前。</w:t>
      </w:r>
    </w:p>
    <w:p w14:paraId="4CBD3B4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000000"/>
          <w:kern w:val="0"/>
          <w:sz w:val="28"/>
          <w:szCs w:val="28"/>
          <w:u w:color="000000"/>
          <w:lang w:val="en-US" w:eastAsia="zh-CN" w:bidi="ar-SA"/>
        </w:rPr>
      </w:pPr>
      <w:r>
        <w:rPr>
          <w:rFonts w:hint="eastAsia" w:ascii="仿宋_GB2312" w:hAnsi="仿宋_GB2312" w:eastAsia="仿宋_GB2312" w:cs="仿宋_GB2312"/>
          <w:color w:val="000000"/>
          <w:kern w:val="0"/>
          <w:sz w:val="28"/>
          <w:szCs w:val="28"/>
          <w:u w:color="000000"/>
          <w:lang w:val="en-US" w:eastAsia="zh-CN" w:bidi="ar-SA"/>
        </w:rPr>
        <w:t>（2）团队成绩=知识理论小组平均成绩*20%+操作技能小组平均成绩*80%（总分100分）;如总成绩相同者，技能操作成绩高者，名次在前。若以上成绩均相同，则技能操作用时短者，名次在前。</w:t>
      </w:r>
    </w:p>
    <w:p w14:paraId="39BBE2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b/>
          <w:bCs/>
          <w:color w:val="000000"/>
          <w:kern w:val="0"/>
          <w:sz w:val="28"/>
          <w:szCs w:val="28"/>
          <w:u w:color="000000"/>
          <w:lang w:val="en-US" w:eastAsia="zh-CN" w:bidi="ar-SA"/>
        </w:rPr>
      </w:pPr>
      <w:r>
        <w:rPr>
          <w:rFonts w:hint="eastAsia" w:ascii="仿宋_GB2312" w:hAnsi="仿宋_GB2312" w:eastAsia="仿宋_GB2312" w:cs="仿宋_GB2312"/>
          <w:b/>
          <w:bCs/>
          <w:color w:val="000000"/>
          <w:kern w:val="0"/>
          <w:sz w:val="28"/>
          <w:szCs w:val="28"/>
          <w:u w:color="000000"/>
          <w:lang w:val="en-US" w:eastAsia="zh-CN" w:bidi="ar-SA"/>
        </w:rPr>
        <w:t>3.评分标准</w:t>
      </w:r>
    </w:p>
    <w:p w14:paraId="0A84DE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heme="minorBidi"/>
          <w:b w:val="0"/>
          <w:bCs w:val="0"/>
          <w:color w:val="000000"/>
          <w:kern w:val="0"/>
          <w:sz w:val="28"/>
          <w:szCs w:val="28"/>
          <w:u w:color="000000"/>
          <w:lang w:val="en-US" w:eastAsia="zh-CN" w:bidi="ar-SA"/>
        </w:rPr>
      </w:pPr>
      <w:r>
        <w:rPr>
          <w:rFonts w:hint="eastAsia" w:ascii="仿宋_GB2312" w:hAnsi="仿宋_GB2312" w:eastAsia="仿宋_GB2312" w:cs="仿宋_GB2312"/>
          <w:b w:val="0"/>
          <w:bCs w:val="0"/>
          <w:color w:val="000000"/>
          <w:kern w:val="0"/>
          <w:sz w:val="28"/>
          <w:szCs w:val="28"/>
          <w:u w:color="000000"/>
          <w:lang w:val="en-US" w:eastAsia="zh-CN" w:bidi="ar-SA"/>
        </w:rPr>
        <w:t>（1）理</w:t>
      </w:r>
      <w:r>
        <w:rPr>
          <w:rFonts w:hint="eastAsia" w:ascii="Times New Roman" w:hAnsi="Times New Roman" w:eastAsia="仿宋_GB2312" w:cstheme="minorBidi"/>
          <w:b w:val="0"/>
          <w:bCs w:val="0"/>
          <w:color w:val="000000"/>
          <w:kern w:val="0"/>
          <w:sz w:val="28"/>
          <w:szCs w:val="28"/>
          <w:u w:color="000000"/>
          <w:lang w:val="en-US" w:eastAsia="zh-CN" w:bidi="ar-SA"/>
        </w:rPr>
        <w:t>论评分标准</w:t>
      </w:r>
    </w:p>
    <w:p w14:paraId="318A890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仿宋_GB2312" w:cstheme="minorBidi"/>
          <w:color w:val="000000"/>
          <w:kern w:val="0"/>
          <w:sz w:val="28"/>
          <w:szCs w:val="28"/>
          <w:u w:color="000000"/>
          <w:lang w:val="en-US" w:eastAsia="zh-CN" w:bidi="ar-SA"/>
        </w:rPr>
      </w:pPr>
      <w:r>
        <w:rPr>
          <w:rFonts w:hint="eastAsia" w:ascii="Times New Roman" w:hAnsi="Times New Roman" w:eastAsia="仿宋_GB2312" w:cstheme="minorBidi"/>
          <w:color w:val="000000"/>
          <w:kern w:val="0"/>
          <w:sz w:val="28"/>
          <w:szCs w:val="28"/>
          <w:u w:color="000000"/>
          <w:lang w:val="en-US" w:eastAsia="zh-CN" w:bidi="ar-SA"/>
        </w:rPr>
        <w:t>理论试题共计100道，单项选择题60题，每题1分；多项选择题25题，每题1分；判断题15题，每题1分，满分100分，时间60min。系统竞赛平台自动出分。</w:t>
      </w:r>
    </w:p>
    <w:p w14:paraId="3F8795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ascii="仿宋_GB2312" w:hAnsi="仿宋_GB2312" w:eastAsia="仿宋_GB2312" w:cs="仿宋_GB2312"/>
          <w:b/>
          <w:bCs/>
          <w:color w:val="000000"/>
          <w:kern w:val="0"/>
          <w:sz w:val="28"/>
          <w:szCs w:val="28"/>
          <w:u w:color="000000"/>
          <w:lang w:val="en-US" w:eastAsia="zh-CN" w:bidi="ar-SA"/>
        </w:rPr>
      </w:pPr>
      <w:r>
        <w:rPr>
          <w:rFonts w:hint="eastAsia" w:ascii="Times New Roman" w:hAnsi="Times New Roman" w:eastAsia="仿宋_GB2312" w:cstheme="minorBidi"/>
          <w:color w:val="000000"/>
          <w:kern w:val="0"/>
          <w:sz w:val="28"/>
          <w:szCs w:val="28"/>
          <w:u w:color="000000"/>
          <w:lang w:val="en-US" w:eastAsia="zh-CN" w:bidi="ar-SA"/>
        </w:rPr>
        <w:t>（2）学生组实操技能考核评分标准示例如下，具体</w:t>
      </w:r>
      <w:r>
        <w:rPr>
          <w:rFonts w:hint="eastAsia" w:ascii="仿宋_GB2312" w:hAnsi="仿宋_GB2312" w:eastAsia="仿宋_GB2312" w:cs="仿宋_GB2312"/>
          <w:kern w:val="2"/>
          <w:sz w:val="28"/>
          <w:szCs w:val="28"/>
          <w:lang w:val="en-US" w:eastAsia="zh-CN" w:bidi="ar-SA"/>
        </w:rPr>
        <w:t>竞赛试题与评分细则由竞赛组委会技术工作委员会统一组织编制，以正式发布为准。</w:t>
      </w:r>
    </w:p>
    <w:tbl>
      <w:tblPr>
        <w:tblStyle w:val="14"/>
        <w:tblW w:w="9510"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95"/>
        <w:gridCol w:w="2790"/>
        <w:gridCol w:w="3765"/>
        <w:gridCol w:w="1260"/>
      </w:tblGrid>
      <w:tr w14:paraId="55F0F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FB113">
            <w:pPr>
              <w:keepNext w:val="0"/>
              <w:keepLines w:val="0"/>
              <w:widowControl/>
              <w:suppressLineNumbers w:val="0"/>
              <w:jc w:val="center"/>
              <w:textAlignment w:val="center"/>
              <w:rPr>
                <w:rFonts w:hint="eastAsia" w:ascii="仿宋" w:hAnsi="仿宋" w:eastAsia="仿宋" w:cs="仿宋"/>
                <w:b w:val="0"/>
                <w:bCs w:val="0"/>
                <w:i w:val="0"/>
                <w:iCs w:val="0"/>
                <w:color w:val="000000"/>
                <w:sz w:val="22"/>
                <w:szCs w:val="22"/>
                <w:u w:val="none"/>
              </w:rPr>
            </w:pPr>
            <w:r>
              <w:rPr>
                <w:rFonts w:hint="eastAsia" w:ascii="仿宋" w:hAnsi="仿宋" w:eastAsia="仿宋" w:cs="仿宋"/>
                <w:b w:val="0"/>
                <w:bCs w:val="0"/>
                <w:i w:val="0"/>
                <w:iCs w:val="0"/>
                <w:color w:val="000000"/>
                <w:kern w:val="0"/>
                <w:sz w:val="22"/>
                <w:szCs w:val="22"/>
                <w:u w:val="none"/>
                <w:lang w:val="en-US" w:eastAsia="zh-CN" w:bidi="ar"/>
              </w:rPr>
              <w:t>任务</w:t>
            </w: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1E9E5">
            <w:pPr>
              <w:keepNext w:val="0"/>
              <w:keepLines w:val="0"/>
              <w:widowControl/>
              <w:suppressLineNumbers w:val="0"/>
              <w:jc w:val="center"/>
              <w:textAlignment w:val="center"/>
              <w:rPr>
                <w:rFonts w:hint="eastAsia" w:ascii="仿宋" w:hAnsi="仿宋" w:eastAsia="仿宋" w:cs="仿宋"/>
                <w:b w:val="0"/>
                <w:bCs w:val="0"/>
                <w:i w:val="0"/>
                <w:iCs w:val="0"/>
                <w:color w:val="000000"/>
                <w:sz w:val="22"/>
                <w:szCs w:val="22"/>
                <w:u w:val="none"/>
              </w:rPr>
            </w:pPr>
            <w:r>
              <w:rPr>
                <w:rFonts w:hint="eastAsia" w:ascii="仿宋" w:hAnsi="仿宋" w:eastAsia="仿宋" w:cs="仿宋"/>
                <w:b w:val="0"/>
                <w:bCs w:val="0"/>
                <w:i w:val="0"/>
                <w:iCs w:val="0"/>
                <w:color w:val="000000"/>
                <w:kern w:val="0"/>
                <w:sz w:val="22"/>
                <w:szCs w:val="22"/>
                <w:u w:val="none"/>
                <w:lang w:val="en-US" w:eastAsia="zh-CN" w:bidi="ar"/>
              </w:rPr>
              <w:t>考察内容</w:t>
            </w:r>
          </w:p>
        </w:tc>
        <w:tc>
          <w:tcPr>
            <w:tcW w:w="3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B1489">
            <w:pPr>
              <w:keepNext w:val="0"/>
              <w:keepLines w:val="0"/>
              <w:widowControl/>
              <w:suppressLineNumbers w:val="0"/>
              <w:jc w:val="center"/>
              <w:textAlignment w:val="center"/>
              <w:rPr>
                <w:rFonts w:hint="eastAsia" w:ascii="仿宋" w:hAnsi="仿宋" w:eastAsia="仿宋" w:cs="仿宋"/>
                <w:b w:val="0"/>
                <w:bCs w:val="0"/>
                <w:i w:val="0"/>
                <w:iCs w:val="0"/>
                <w:color w:val="000000"/>
                <w:sz w:val="22"/>
                <w:szCs w:val="22"/>
                <w:u w:val="none"/>
                <w:lang w:val="en-US"/>
              </w:rPr>
            </w:pPr>
            <w:r>
              <w:rPr>
                <w:rFonts w:hint="eastAsia" w:ascii="仿宋" w:hAnsi="仿宋" w:eastAsia="仿宋" w:cs="仿宋"/>
                <w:b w:val="0"/>
                <w:bCs w:val="0"/>
                <w:i w:val="0"/>
                <w:iCs w:val="0"/>
                <w:color w:val="000000"/>
                <w:kern w:val="0"/>
                <w:sz w:val="22"/>
                <w:szCs w:val="22"/>
                <w:u w:val="none"/>
                <w:lang w:val="en-US" w:eastAsia="zh-CN" w:bidi="ar"/>
              </w:rPr>
              <w:t>学生组评分标准</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49F92">
            <w:pPr>
              <w:keepNext w:val="0"/>
              <w:keepLines w:val="0"/>
              <w:widowControl/>
              <w:suppressLineNumbers w:val="0"/>
              <w:jc w:val="center"/>
              <w:textAlignment w:val="center"/>
              <w:rPr>
                <w:rFonts w:hint="eastAsia" w:ascii="仿宋" w:hAnsi="仿宋" w:eastAsia="仿宋" w:cs="仿宋"/>
                <w:b w:val="0"/>
                <w:bCs w:val="0"/>
                <w:i w:val="0"/>
                <w:iCs w:val="0"/>
                <w:color w:val="000000"/>
                <w:sz w:val="22"/>
                <w:szCs w:val="22"/>
                <w:u w:val="none"/>
              </w:rPr>
            </w:pPr>
            <w:r>
              <w:rPr>
                <w:rFonts w:hint="eastAsia" w:ascii="仿宋" w:hAnsi="仿宋" w:eastAsia="仿宋" w:cs="仿宋"/>
                <w:b w:val="0"/>
                <w:bCs w:val="0"/>
                <w:i w:val="0"/>
                <w:iCs w:val="0"/>
                <w:color w:val="000000"/>
                <w:kern w:val="0"/>
                <w:sz w:val="22"/>
                <w:szCs w:val="22"/>
                <w:u w:val="none"/>
                <w:lang w:val="en-US" w:eastAsia="zh-CN" w:bidi="ar"/>
              </w:rPr>
              <w:t>分值</w:t>
            </w:r>
          </w:p>
        </w:tc>
      </w:tr>
      <w:tr w14:paraId="244C6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867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图像数据采集</w:t>
            </w: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9CA9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考察选手对相机、镜头、光源等图像采集设备的操作和调整能力，包括如何准确地获取和处理图像数据，并通过调节光源亮度、位置等因素来获得清晰的图像</w:t>
            </w:r>
          </w:p>
        </w:tc>
        <w:tc>
          <w:tcPr>
            <w:tcW w:w="3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44C8">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1.完成相机、镜头和光源的安装，调节光源亮度到指定值；（3分）</w:t>
            </w:r>
          </w:p>
          <w:p w14:paraId="4F5E60F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2.设置电脑网卡IP、并配置相机IP至同一网段，打开上位机软件，查找相机，确保相机可正确连接并打开；（3分）</w:t>
            </w:r>
          </w:p>
          <w:p w14:paraId="0295281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3.调节相机支架的高度，确保产品在合适的物距，设置相机为触发采集模式，对产品完成不少于3幅图像采集，并存储到指定文件夹（4分）。</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A1F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55636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2" w:hRule="atLeast"/>
        </w:trPr>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4C44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图像标注与训练</w:t>
            </w:r>
          </w:p>
          <w:p w14:paraId="714392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4ADA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考察选手对图像标注技术和深度学习模型训练的理解与操作能力，包括如何选择合适的标注工具、设计标注方案、进行高质量的图像标注，以及如何利用标注数据进行深度学习模型的训练与优化等方面的技能</w:t>
            </w:r>
          </w:p>
        </w:tc>
        <w:tc>
          <w:tcPr>
            <w:tcW w:w="3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02895">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1.打开上位机软件，基于软件采集一定数量的目标图像，并在软件中完成目标图像的标注工作。（3分）</w:t>
            </w:r>
          </w:p>
          <w:p w14:paraId="422B239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2.将标注好的图像数据放到指定训练文件夹中，在软件中选择预训练模型，开始数据训练。（4分）</w:t>
            </w:r>
          </w:p>
          <w:p w14:paraId="55F1841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3.将训练好的模型进行转换，以onnx格式进行输出。（3分）</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305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1837D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5" w:hRule="atLeast"/>
        </w:trPr>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233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视觉检测与模型调用</w:t>
            </w: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CF99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考察选手对视觉检测技术和深度学习模型的应用能力，包括如何选择合适的模型、调用模型进行数据分析和目标检测等方面的技能</w:t>
            </w:r>
          </w:p>
        </w:tc>
        <w:tc>
          <w:tcPr>
            <w:tcW w:w="3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7EEA1">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1.打开上位机软件，在图像处理线程中调用定位函数，产品经过时，算法可定位产品，并以矩形框形式框出该产品，保存定位结果图像到指定文件夹；（5分）</w:t>
            </w:r>
          </w:p>
          <w:p w14:paraId="78CAD0F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2.打开上位机软件，在图像处理线程中调用深度学习模型，产品经过时，算法可利用模型自动完成识别，并将识别结果显示到界面，保存识别结果图像到文件夹。（10分）</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3E5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r>
      <w:tr w14:paraId="6B36E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0" w:hRule="atLeast"/>
        </w:trPr>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CF1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机器人编程与目标抓取</w:t>
            </w: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F65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考察选手对机器人运动控制和路径规划的能力，包括如何设计和编写机器人程序、如何完成机器人与视觉系统的标定、如何实现机器人与视觉系统的协同等</w:t>
            </w:r>
          </w:p>
        </w:tc>
        <w:tc>
          <w:tcPr>
            <w:tcW w:w="3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A2774">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1.调用机器人与视觉系统的标定函数，手动放置产品于2#传感器位置时，机器人可根据指令，准确完成产品的抓取，并放置到指定位置；（10分）</w:t>
            </w:r>
          </w:p>
          <w:p w14:paraId="41DA121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根据给定的产品分类要求，在图像处理线程中将不同的识别结果输出给机器人控制函数，开启设备并以自动化方式运行，当产品到达2#传感器位置时，机器人可根据识别结果，对产品完成抓取并分类放置到1号和2号仓储位。（15分）</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B9F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r>
      <w:tr w14:paraId="777D3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1E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系统运维与优化</w:t>
            </w: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9BC7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综合性的考察，选手需要基于自身对系统原理和调试方法的熟练掌握，检测系统故障、优化系统性能，从而确保高效运行</w:t>
            </w:r>
          </w:p>
        </w:tc>
        <w:tc>
          <w:tcPr>
            <w:tcW w:w="3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44083">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1.打开上位机软件，编写定时器或线程函数，进行相机在线状态检测，当手动拔掉相机网线时，软件可检测到相机掉线，并弹窗显示“检测到相机掉线”（10分）</w:t>
            </w:r>
          </w:p>
          <w:p w14:paraId="7621FE1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2.将1#传感器前移至相机前端约15cm的位置，设置相机触发延时，当产品经过时，相机可正常完成产品的图像采集，并保存图像到指定文件夹。（15分）</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805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r>
      <w:tr w14:paraId="241B5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DC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其他</w:t>
            </w:r>
          </w:p>
        </w:tc>
        <w:tc>
          <w:tcPr>
            <w:tcW w:w="2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6D7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操作报告、职业素养等</w:t>
            </w:r>
          </w:p>
        </w:tc>
        <w:tc>
          <w:tcPr>
            <w:tcW w:w="3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28DD2">
            <w:pPr>
              <w:rPr>
                <w:rFonts w:hint="eastAsia" w:ascii="仿宋" w:hAnsi="仿宋" w:eastAsia="仿宋" w:cs="仿宋"/>
                <w:i w:val="0"/>
                <w:iCs w:val="0"/>
                <w:color w:val="000000"/>
                <w:sz w:val="22"/>
                <w:szCs w:val="22"/>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FBA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r>
    </w:tbl>
    <w:p w14:paraId="700FC6A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ascii="仿宋_GB2312" w:hAnsi="仿宋_GB2312" w:eastAsia="仿宋_GB2312" w:cs="仿宋_GB2312"/>
          <w:kern w:val="2"/>
          <w:sz w:val="28"/>
          <w:szCs w:val="28"/>
          <w:lang w:val="en-US" w:eastAsia="zh-CN" w:bidi="ar-SA"/>
        </w:rPr>
      </w:pPr>
      <w:r>
        <w:rPr>
          <w:rFonts w:hint="eastAsia" w:ascii="Times New Roman" w:hAnsi="Times New Roman" w:eastAsia="仿宋_GB2312" w:cstheme="minorBidi"/>
          <w:color w:val="000000"/>
          <w:kern w:val="0"/>
          <w:sz w:val="28"/>
          <w:szCs w:val="28"/>
          <w:u w:color="000000"/>
          <w:lang w:val="en-US" w:eastAsia="zh-CN" w:bidi="ar-SA"/>
        </w:rPr>
        <w:t>（3）职工组实操技能考核评分标准示例如下，具体</w:t>
      </w:r>
      <w:r>
        <w:rPr>
          <w:rFonts w:hint="eastAsia" w:ascii="仿宋_GB2312" w:hAnsi="仿宋_GB2312" w:eastAsia="仿宋_GB2312" w:cs="仿宋_GB2312"/>
          <w:kern w:val="2"/>
          <w:sz w:val="28"/>
          <w:szCs w:val="28"/>
          <w:lang w:val="en-US" w:eastAsia="zh-CN" w:bidi="ar-SA"/>
        </w:rPr>
        <w:t>竞赛试题与评分细则由竞赛组委会技术工作委员会统一组织编制，以正式发布为准。</w:t>
      </w:r>
    </w:p>
    <w:tbl>
      <w:tblPr>
        <w:tblStyle w:val="14"/>
        <w:tblW w:w="9540"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40"/>
        <w:gridCol w:w="2670"/>
        <w:gridCol w:w="4140"/>
        <w:gridCol w:w="990"/>
      </w:tblGrid>
      <w:tr w14:paraId="130A0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EFA1C">
            <w:pPr>
              <w:keepNext w:val="0"/>
              <w:keepLines w:val="0"/>
              <w:widowControl/>
              <w:suppressLineNumbers w:val="0"/>
              <w:jc w:val="center"/>
              <w:textAlignment w:val="center"/>
              <w:rPr>
                <w:rFonts w:hint="eastAsia" w:ascii="仿宋" w:hAnsi="仿宋" w:eastAsia="仿宋" w:cs="仿宋"/>
                <w:b w:val="0"/>
                <w:bCs w:val="0"/>
                <w:i w:val="0"/>
                <w:iCs w:val="0"/>
                <w:color w:val="000000"/>
                <w:sz w:val="22"/>
                <w:szCs w:val="22"/>
                <w:u w:val="none"/>
              </w:rPr>
            </w:pPr>
            <w:r>
              <w:rPr>
                <w:rFonts w:hint="eastAsia" w:ascii="仿宋" w:hAnsi="仿宋" w:eastAsia="仿宋" w:cs="仿宋"/>
                <w:b w:val="0"/>
                <w:bCs w:val="0"/>
                <w:i w:val="0"/>
                <w:iCs w:val="0"/>
                <w:color w:val="000000"/>
                <w:kern w:val="0"/>
                <w:sz w:val="22"/>
                <w:szCs w:val="22"/>
                <w:u w:val="none"/>
                <w:lang w:val="en-US" w:eastAsia="zh-CN" w:bidi="ar"/>
              </w:rPr>
              <w:t>任务</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FA59D">
            <w:pPr>
              <w:keepNext w:val="0"/>
              <w:keepLines w:val="0"/>
              <w:widowControl/>
              <w:suppressLineNumbers w:val="0"/>
              <w:jc w:val="center"/>
              <w:textAlignment w:val="center"/>
              <w:rPr>
                <w:rFonts w:hint="eastAsia" w:ascii="仿宋" w:hAnsi="仿宋" w:eastAsia="仿宋" w:cs="仿宋"/>
                <w:b w:val="0"/>
                <w:bCs w:val="0"/>
                <w:i w:val="0"/>
                <w:iCs w:val="0"/>
                <w:color w:val="000000"/>
                <w:sz w:val="22"/>
                <w:szCs w:val="22"/>
                <w:u w:val="none"/>
              </w:rPr>
            </w:pPr>
            <w:r>
              <w:rPr>
                <w:rFonts w:hint="eastAsia" w:ascii="仿宋" w:hAnsi="仿宋" w:eastAsia="仿宋" w:cs="仿宋"/>
                <w:b w:val="0"/>
                <w:bCs w:val="0"/>
                <w:i w:val="0"/>
                <w:iCs w:val="0"/>
                <w:color w:val="000000"/>
                <w:kern w:val="0"/>
                <w:sz w:val="22"/>
                <w:szCs w:val="22"/>
                <w:u w:val="none"/>
                <w:lang w:val="en-US" w:eastAsia="zh-CN" w:bidi="ar"/>
              </w:rPr>
              <w:t>考察内容</w:t>
            </w:r>
          </w:p>
        </w:tc>
        <w:tc>
          <w:tcPr>
            <w:tcW w:w="4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28156">
            <w:pPr>
              <w:keepNext w:val="0"/>
              <w:keepLines w:val="0"/>
              <w:widowControl/>
              <w:suppressLineNumbers w:val="0"/>
              <w:jc w:val="center"/>
              <w:textAlignment w:val="center"/>
              <w:rPr>
                <w:rFonts w:hint="eastAsia" w:ascii="仿宋" w:hAnsi="仿宋" w:eastAsia="仿宋" w:cs="仿宋"/>
                <w:b w:val="0"/>
                <w:bCs w:val="0"/>
                <w:i w:val="0"/>
                <w:iCs w:val="0"/>
                <w:color w:val="000000"/>
                <w:sz w:val="22"/>
                <w:szCs w:val="22"/>
                <w:u w:val="none"/>
              </w:rPr>
            </w:pPr>
            <w:r>
              <w:rPr>
                <w:rFonts w:hint="eastAsia" w:ascii="仿宋" w:hAnsi="仿宋" w:eastAsia="仿宋" w:cs="仿宋"/>
                <w:b w:val="0"/>
                <w:bCs w:val="0"/>
                <w:i w:val="0"/>
                <w:iCs w:val="0"/>
                <w:color w:val="000000"/>
                <w:kern w:val="0"/>
                <w:sz w:val="22"/>
                <w:szCs w:val="22"/>
                <w:u w:val="none"/>
                <w:lang w:val="en-US" w:eastAsia="zh-CN" w:bidi="ar"/>
              </w:rPr>
              <w:t>职工组评分标准</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E24F3">
            <w:pPr>
              <w:keepNext w:val="0"/>
              <w:keepLines w:val="0"/>
              <w:widowControl/>
              <w:suppressLineNumbers w:val="0"/>
              <w:jc w:val="center"/>
              <w:textAlignment w:val="center"/>
              <w:rPr>
                <w:rFonts w:hint="eastAsia" w:ascii="仿宋" w:hAnsi="仿宋" w:eastAsia="仿宋" w:cs="仿宋"/>
                <w:b w:val="0"/>
                <w:bCs w:val="0"/>
                <w:i w:val="0"/>
                <w:iCs w:val="0"/>
                <w:color w:val="000000"/>
                <w:sz w:val="22"/>
                <w:szCs w:val="22"/>
                <w:u w:val="none"/>
              </w:rPr>
            </w:pPr>
            <w:r>
              <w:rPr>
                <w:rFonts w:hint="eastAsia" w:ascii="仿宋" w:hAnsi="仿宋" w:eastAsia="仿宋" w:cs="仿宋"/>
                <w:b w:val="0"/>
                <w:bCs w:val="0"/>
                <w:i w:val="0"/>
                <w:iCs w:val="0"/>
                <w:color w:val="000000"/>
                <w:kern w:val="0"/>
                <w:sz w:val="22"/>
                <w:szCs w:val="22"/>
                <w:u w:val="none"/>
                <w:lang w:val="en-US" w:eastAsia="zh-CN" w:bidi="ar"/>
              </w:rPr>
              <w:t>分值</w:t>
            </w:r>
          </w:p>
        </w:tc>
      </w:tr>
      <w:tr w14:paraId="35C81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477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图像数据采集</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9A46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可以考察选手对相机等图像采集设备的操作和调整能力，包括如何准确地获取和处理图像数据等相关技能</w:t>
            </w:r>
          </w:p>
        </w:tc>
        <w:tc>
          <w:tcPr>
            <w:tcW w:w="4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36174">
            <w:pPr>
              <w:keepNext w:val="0"/>
              <w:keepLines w:val="0"/>
              <w:widowControl/>
              <w:suppressLineNumbers w:val="0"/>
              <w:jc w:val="left"/>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1.完成相机</w:t>
            </w:r>
            <w:r>
              <w:rPr>
                <w:rFonts w:hint="eastAsia" w:ascii="仿宋" w:hAnsi="仿宋" w:eastAsia="仿宋" w:cs="仿宋"/>
                <w:i w:val="0"/>
                <w:iCs w:val="0"/>
                <w:color w:val="000000"/>
                <w:kern w:val="0"/>
                <w:sz w:val="22"/>
                <w:szCs w:val="22"/>
                <w:u w:val="none"/>
                <w:lang w:val="en-US" w:eastAsia="zh-CN" w:bidi="ar"/>
              </w:rPr>
              <w:t>等图像采集设备的</w:t>
            </w:r>
            <w:r>
              <w:rPr>
                <w:rFonts w:hint="eastAsia" w:ascii="仿宋" w:hAnsi="仿宋" w:eastAsia="仿宋" w:cs="仿宋"/>
                <w:i w:val="0"/>
                <w:iCs w:val="0"/>
                <w:color w:val="000000"/>
                <w:sz w:val="22"/>
                <w:szCs w:val="22"/>
                <w:u w:val="none"/>
                <w:lang w:val="en-US" w:eastAsia="zh-CN"/>
              </w:rPr>
              <w:t>安装（2分）</w:t>
            </w:r>
          </w:p>
          <w:p w14:paraId="626086EC">
            <w:pPr>
              <w:keepNext w:val="0"/>
              <w:keepLines w:val="0"/>
              <w:widowControl/>
              <w:suppressLineNumbers w:val="0"/>
              <w:jc w:val="left"/>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2.成功完成并运行图像采集程序（代码补充不完善或参数设置有误等情况可酌情给分，不超过6分）；（8分）</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37D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r>
      <w:tr w14:paraId="4A62D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C70A0">
            <w:pPr>
              <w:keepNext w:val="0"/>
              <w:keepLines w:val="0"/>
              <w:widowControl/>
              <w:suppressLineNumbers w:val="0"/>
              <w:jc w:val="center"/>
              <w:textAlignment w:val="center"/>
              <w:rPr>
                <w:rFonts w:hint="eastAsia" w:ascii="仿宋" w:hAnsi="仿宋" w:eastAsia="仿宋" w:cs="仿宋"/>
                <w:i w:val="0"/>
                <w:iCs w:val="0"/>
                <w:color w:val="000000"/>
                <w:sz w:val="22"/>
                <w:szCs w:val="22"/>
                <w:highlight w:val="yellow"/>
                <w:u w:val="none"/>
              </w:rPr>
            </w:pPr>
            <w:r>
              <w:rPr>
                <w:rFonts w:hint="eastAsia" w:ascii="仿宋" w:hAnsi="仿宋" w:eastAsia="仿宋" w:cs="仿宋"/>
                <w:i w:val="0"/>
                <w:iCs w:val="0"/>
                <w:color w:val="000000"/>
                <w:kern w:val="0"/>
                <w:sz w:val="22"/>
                <w:szCs w:val="22"/>
                <w:u w:val="none"/>
                <w:lang w:val="en-US" w:eastAsia="zh-CN" w:bidi="ar"/>
              </w:rPr>
              <w:t>传感器控制</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86D63">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考察选手对图像标注技术和深度学习模型训练的理解与操作能力，包括如何选择合适的标注工具、设计标注方案、进行高质量的图像标注，以及如何利用标注数据进行深度学习模型的训练与优化等方面的技能</w:t>
            </w:r>
          </w:p>
          <w:p w14:paraId="7EDD8B22">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31346">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1.正确按照要求编辑语音指令。（5分）</w:t>
            </w:r>
          </w:p>
          <w:p w14:paraId="07F37F2B">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2.通过语音指令完成执行任务（5分）</w:t>
            </w:r>
          </w:p>
          <w:p w14:paraId="6B84AB03">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lang w:val="en-US"/>
              </w:rPr>
            </w:pPr>
            <w:r>
              <w:rPr>
                <w:rFonts w:hint="eastAsia" w:ascii="仿宋" w:hAnsi="仿宋" w:eastAsia="仿宋" w:cs="仿宋"/>
                <w:i w:val="0"/>
                <w:iCs w:val="0"/>
                <w:color w:val="000000"/>
                <w:kern w:val="0"/>
                <w:sz w:val="22"/>
                <w:szCs w:val="22"/>
                <w:highlight w:val="none"/>
                <w:u w:val="none"/>
                <w:lang w:val="en-US" w:eastAsia="zh-CN" w:bidi="ar"/>
              </w:rPr>
              <w:t xml:space="preserve">                                          </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E922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10</w:t>
            </w:r>
          </w:p>
        </w:tc>
      </w:tr>
      <w:tr w14:paraId="49BBD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5" w:hRule="atLeast"/>
        </w:trPr>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465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视觉检测与模型调用</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D327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考察选手对视觉检测技术和深度学习模型的应用能力，包括如何选择合适的模型、调用模型进行数据分析和目标检测等方面的技能</w:t>
            </w:r>
          </w:p>
        </w:tc>
        <w:tc>
          <w:tcPr>
            <w:tcW w:w="4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6D66D">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★1.打开控制软件，在图像处理线程中采用OpenCV函数编写定位算法，当手动放置一个产品在相机视野中时，点击触发拍照，算法可自动标记该产品的中心点，并保存标记结果到指定文件夹；（4分）</w:t>
            </w:r>
          </w:p>
          <w:p w14:paraId="48ED208B">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2.打开控制软件，在图像处理线程中调用定位函数，产品经过时，算法可定位产品，并以矩形框形式框出该产品，保存定位结果图像到指定文件夹；（5分）</w:t>
            </w:r>
          </w:p>
          <w:p w14:paraId="02692FE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3.打开控制软件，在图像处理线程中调用深度学习模型，产品经过时，算法可利用模型自动完成识别，并将识别结果显示到界面，保存识别结果图像到文件夹。（6分）</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E33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r>
      <w:tr w14:paraId="73A36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0" w:hRule="atLeast"/>
        </w:trPr>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A2A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机器人编程与目标抓取</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9A2B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考察选手对机器人运动控制和路径规划的能力，包括如何设计和编写机器人程序、如何完成机器人与视觉系统的标定、如何实现机器人与视觉系统的协同等</w:t>
            </w:r>
          </w:p>
        </w:tc>
        <w:tc>
          <w:tcPr>
            <w:tcW w:w="4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ED30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★1.打开控制软件，在图像处理线程中找到机器人执行代码段，编写机器人控制函数，当函数输入值为真时，机器人可沿底座运动到1号仓储位，当函数输入值为假时，机器人可沿底座运动到2号仓储位；（5分）</w:t>
            </w:r>
          </w:p>
          <w:p w14:paraId="7A48650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2.调用机器人与视觉系统的标定函数，手动放置产品于2#传感器位置时，机器人可根据指令，准确完成产品的抓取，并放置到指定位置；（8分）</w:t>
            </w:r>
          </w:p>
          <w:p w14:paraId="252E5A8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根据给定的产品分类要求，在图像处理线程中将不同的识别结果输出给机器人控制函数，开启设备并以自动化方式运行，当产品到达2#传感器位置时，机器人可根据识别结果，对产品完成抓取并分类放置到1号和2号仓储位。（12分）</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C47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r>
      <w:tr w14:paraId="7A545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A1C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系统运维与优化</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71B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综合性的考察，选手需要基于自身对系统原理和调试方法的熟练掌握，检测系统故障、优化系统性能，从而确保高效运行</w:t>
            </w:r>
          </w:p>
        </w:tc>
        <w:tc>
          <w:tcPr>
            <w:tcW w:w="4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9D0C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1.打开控制软件，编写定时器或线程函数，进行相机在线状态检测，当手动拔掉相机网线时，软件可检测到相机掉线，并弹窗显示“检测到相机掉线”；（5分）</w:t>
            </w:r>
          </w:p>
          <w:p w14:paraId="47F146D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★2.编写相机自动重连函数，在软件不退出的情况下，重新插上网线后，系统可自动刷新相机连接状态，并再次显示连接正常。（10分）</w:t>
            </w:r>
          </w:p>
          <w:p w14:paraId="4B79060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3.将1#传感器前移至相机前端约15cm的位置，设置相机触发延时，当产品经过时，相机可正常完成产品的图像采集，并保存图像到指定文件夹。（10分）</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476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r>
      <w:tr w14:paraId="22D53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983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其他</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EE3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操作报告、职业素养等</w:t>
            </w:r>
          </w:p>
        </w:tc>
        <w:tc>
          <w:tcPr>
            <w:tcW w:w="4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0684">
            <w:pPr>
              <w:rPr>
                <w:rFonts w:hint="eastAsia" w:ascii="仿宋" w:hAnsi="仿宋" w:eastAsia="仿宋" w:cs="仿宋"/>
                <w:i w:val="0"/>
                <w:iCs w:val="0"/>
                <w:color w:val="000000"/>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F13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r>
    </w:tbl>
    <w:p w14:paraId="70721F0B">
      <w:pPr>
        <w:pStyle w:val="13"/>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default" w:ascii="Times New Roman" w:hAnsi="Times New Roman" w:eastAsia="仿宋_GB2312" w:cstheme="minorBidi"/>
          <w:color w:val="000000"/>
          <w:kern w:val="0"/>
          <w:sz w:val="28"/>
          <w:szCs w:val="28"/>
          <w:u w:color="000000"/>
          <w:lang w:val="en-US" w:eastAsia="zh-CN" w:bidi="ar-SA"/>
        </w:rPr>
      </w:pPr>
      <w:r>
        <w:rPr>
          <w:rFonts w:hint="eastAsia" w:ascii="Times New Roman" w:hAnsi="Times New Roman" w:eastAsia="仿宋_GB2312" w:cstheme="minorBidi"/>
          <w:color w:val="000000"/>
          <w:kern w:val="0"/>
          <w:sz w:val="28"/>
          <w:szCs w:val="28"/>
          <w:u w:color="000000"/>
          <w:lang w:val="en-US" w:eastAsia="zh-CN" w:bidi="ar-SA"/>
        </w:rPr>
        <w:t>职工组在决赛中将五人分为一个项目组，完成比赛。评委会基于选手的表现、完成任务的质量、时间等因素对项目组的成员依次进行打分。</w:t>
      </w:r>
    </w:p>
    <w:p w14:paraId="79561625">
      <w:pPr>
        <w:pStyle w:val="13"/>
        <w:keepNext w:val="0"/>
        <w:keepLines w:val="0"/>
        <w:pageBreakBefore w:val="0"/>
        <w:widowControl w:val="0"/>
        <w:kinsoku/>
        <w:wordWrap/>
        <w:overflowPunct/>
        <w:topLinePunct w:val="0"/>
        <w:autoSpaceDE/>
        <w:autoSpaceDN/>
        <w:bidi w:val="0"/>
        <w:adjustRightInd/>
        <w:snapToGrid/>
        <w:spacing w:after="0" w:line="560" w:lineRule="exact"/>
        <w:ind w:left="0" w:leftChars="0" w:firstLine="562" w:firstLineChars="200"/>
        <w:textAlignment w:val="auto"/>
        <w:rPr>
          <w:rFonts w:hint="default" w:ascii="Times New Roman" w:hAnsi="Times New Roman" w:eastAsia="仿宋_GB2312" w:cstheme="minorBidi"/>
          <w:b/>
          <w:bCs/>
          <w:color w:val="000000"/>
          <w:kern w:val="0"/>
          <w:sz w:val="28"/>
          <w:szCs w:val="28"/>
          <w:u w:color="000000"/>
          <w:lang w:val="en-US" w:eastAsia="zh-CN" w:bidi="ar-SA"/>
        </w:rPr>
      </w:pPr>
      <w:r>
        <w:rPr>
          <w:rFonts w:hint="eastAsia" w:ascii="Times New Roman" w:hAnsi="Times New Roman" w:eastAsia="仿宋_GB2312" w:cstheme="minorBidi"/>
          <w:b/>
          <w:bCs/>
          <w:color w:val="000000"/>
          <w:kern w:val="0"/>
          <w:sz w:val="28"/>
          <w:szCs w:val="28"/>
          <w:u w:color="000000"/>
          <w:lang w:val="en-US" w:eastAsia="zh-CN" w:bidi="ar-SA"/>
        </w:rPr>
        <w:t>（二）申诉与仲裁</w:t>
      </w:r>
    </w:p>
    <w:p w14:paraId="2EC2057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仿宋_GB2312" w:cstheme="minorBidi"/>
          <w:color w:val="000000"/>
          <w:kern w:val="0"/>
          <w:sz w:val="28"/>
          <w:szCs w:val="28"/>
          <w:u w:color="000000"/>
          <w:lang w:val="en-US" w:eastAsia="zh-CN" w:bidi="ar-SA"/>
        </w:rPr>
      </w:pPr>
      <w:r>
        <w:rPr>
          <w:rFonts w:hint="default" w:ascii="Times New Roman" w:hAnsi="Times New Roman" w:eastAsia="仿宋_GB2312" w:cstheme="minorBidi"/>
          <w:color w:val="000000"/>
          <w:kern w:val="0"/>
          <w:sz w:val="28"/>
          <w:szCs w:val="28"/>
          <w:u w:color="000000"/>
          <w:lang w:val="en-US" w:eastAsia="zh-CN" w:bidi="ar-SA"/>
        </w:rPr>
        <w:t>本赛项在竞赛过程中若出现有失公正或有关人员违规等现象可在竞赛结束后2小时之内向监督仲裁组提出书面申诉。大赛组委会选派人员参加监督仲裁工作，监督仲裁工作组在接到申诉后的2小时内组织复议，并及时反馈仲裁结果，仲裁结果为最终结果</w:t>
      </w:r>
      <w:r>
        <w:rPr>
          <w:rFonts w:hint="eastAsia" w:ascii="Times New Roman" w:hAnsi="Times New Roman" w:eastAsia="仿宋_GB2312" w:cstheme="minorBidi"/>
          <w:color w:val="000000"/>
          <w:kern w:val="0"/>
          <w:sz w:val="28"/>
          <w:szCs w:val="28"/>
          <w:u w:color="000000"/>
          <w:lang w:val="en-US" w:eastAsia="zh-CN" w:bidi="ar-SA"/>
        </w:rPr>
        <w:t>。</w:t>
      </w:r>
    </w:p>
    <w:p w14:paraId="338DD947">
      <w:pPr>
        <w:pStyle w:val="3"/>
        <w:keepNext/>
        <w:keepLines/>
        <w:pageBreakBefore w:val="0"/>
        <w:widowControl w:val="0"/>
        <w:kinsoku/>
        <w:wordWrap/>
        <w:overflowPunct/>
        <w:topLinePunct w:val="0"/>
        <w:autoSpaceDE/>
        <w:autoSpaceDN/>
        <w:bidi w:val="0"/>
        <w:adjustRightInd/>
        <w:snapToGrid/>
        <w:spacing w:before="157" w:beforeLines="50" w:after="157" w:afterLines="50" w:line="560" w:lineRule="exact"/>
        <w:ind w:firstLine="643"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七、大赛组织管理</w:t>
      </w:r>
    </w:p>
    <w:p w14:paraId="3B91D0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rPr>
          <w:rFonts w:hint="eastAsia" w:ascii="仿宋_GB2312" w:hAnsi="仿宋_GB2312" w:eastAsia="仿宋_GB2312" w:cs="仿宋_GB2312"/>
          <w:b/>
          <w:bCs/>
          <w:color w:val="000000" w:themeColor="text1"/>
          <w:sz w:val="28"/>
          <w:szCs w:val="28"/>
          <w:lang w:eastAsia="zh-CN"/>
          <w14:textFill>
            <w14:solidFill>
              <w14:schemeClr w14:val="tx1"/>
            </w14:solidFill>
          </w14:textFill>
        </w:rPr>
      </w:pPr>
      <w:r>
        <w:rPr>
          <w:rFonts w:hint="eastAsia" w:ascii="仿宋_GB2312" w:hAnsi="仿宋_GB2312" w:eastAsia="仿宋_GB2312" w:cs="仿宋_GB2312"/>
          <w:b/>
          <w:bCs/>
          <w:color w:val="000000" w:themeColor="text1"/>
          <w:sz w:val="28"/>
          <w:szCs w:val="28"/>
          <w:lang w:eastAsia="zh-CN"/>
          <w14:textFill>
            <w14:solidFill>
              <w14:schemeClr w14:val="tx1"/>
            </w14:solidFill>
          </w14:textFill>
        </w:rPr>
        <w:t>（一）组织保障</w:t>
      </w:r>
    </w:p>
    <w:p w14:paraId="47D59469">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成立由赛项执委会主任为组长的赛项安全保障小组，职责分工明确。</w:t>
      </w:r>
    </w:p>
    <w:p w14:paraId="3D5AE2D4">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与地方相关部门建立协调机制，制定应急预案，及时处置突发事件，保证比赛安全进行。</w:t>
      </w:r>
    </w:p>
    <w:p w14:paraId="3CDE468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eastAsia="仿宋_GB2312"/>
          <w:lang w:val="en-US" w:eastAsia="zh-CN"/>
        </w:rPr>
      </w:pPr>
      <w:r>
        <w:rPr>
          <w:rFonts w:hint="eastAsia" w:ascii="仿宋_GB2312" w:hAnsi="宋体" w:eastAsia="仿宋_GB2312" w:cs="宋体"/>
          <w:sz w:val="28"/>
          <w:szCs w:val="28"/>
          <w:lang w:val="en-US" w:eastAsia="zh-CN"/>
        </w:rPr>
        <w:t>3.</w:t>
      </w:r>
      <w:r>
        <w:rPr>
          <w:rFonts w:hint="eastAsia" w:ascii="仿宋_GB2312" w:hAnsi="宋体" w:eastAsia="仿宋_GB2312" w:cs="宋体"/>
          <w:sz w:val="28"/>
          <w:szCs w:val="28"/>
        </w:rPr>
        <w:t>建立完善的大赛保障组织管理机制，做到各比赛单元均有专人负责指挥和协调，确保大赛有序进行</w:t>
      </w:r>
      <w:r>
        <w:rPr>
          <w:rFonts w:hint="eastAsia" w:ascii="仿宋_GB2312" w:hAnsi="宋体" w:eastAsia="仿宋_GB2312" w:cs="宋体"/>
          <w:sz w:val="28"/>
          <w:szCs w:val="28"/>
          <w:lang w:eastAsia="zh-CN"/>
        </w:rPr>
        <w:t>。</w:t>
      </w:r>
    </w:p>
    <w:p w14:paraId="053C931B">
      <w:pPr>
        <w:pStyle w:val="7"/>
        <w:keepNext w:val="0"/>
        <w:keepLines w:val="0"/>
        <w:pageBreakBefore w:val="0"/>
        <w:kinsoku/>
        <w:wordWrap/>
        <w:overflowPunct/>
        <w:topLinePunct w:val="0"/>
        <w:autoSpaceDE/>
        <w:autoSpaceDN/>
        <w:bidi w:val="0"/>
        <w:adjustRightInd/>
        <w:snapToGrid/>
        <w:spacing w:after="0" w:line="560" w:lineRule="exact"/>
        <w:ind w:left="0" w:leftChars="0" w:firstLine="560" w:firstLineChars="200"/>
        <w:rPr>
          <w:rFonts w:hint="default" w:eastAsia="仿宋_GB2312"/>
          <w:lang w:val="en-US" w:eastAsia="zh-CN"/>
        </w:rPr>
      </w:pPr>
      <w:r>
        <w:rPr>
          <w:rFonts w:hint="eastAsia" w:ascii="仿宋_GB2312" w:hAnsi="仿宋_GB2312" w:eastAsia="仿宋_GB2312" w:cs="仿宋_GB2312"/>
          <w:color w:val="000000"/>
          <w:kern w:val="0"/>
          <w:sz w:val="28"/>
          <w:szCs w:val="28"/>
          <w:u w:color="000000"/>
          <w:lang w:val="en-US" w:eastAsia="zh-CN" w:bidi="ar-SA"/>
        </w:rPr>
        <w:t>4.设置生活保障组，为大赛选手与裁判提供相应的生活服务和后勤保障。</w:t>
      </w:r>
    </w:p>
    <w:p w14:paraId="35DB49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rPr>
          <w:rFonts w:hint="eastAsia" w:ascii="仿宋_GB2312" w:hAnsi="仿宋_GB2312" w:eastAsia="仿宋_GB2312" w:cs="仿宋_GB2312"/>
          <w:b/>
          <w:bCs/>
          <w:color w:val="000000" w:themeColor="text1"/>
          <w:sz w:val="28"/>
          <w:szCs w:val="28"/>
          <w:lang w:eastAsia="zh-CN"/>
          <w14:textFill>
            <w14:solidFill>
              <w14:schemeClr w14:val="tx1"/>
            </w14:solidFill>
          </w14:textFill>
        </w:rPr>
      </w:pPr>
      <w:r>
        <w:rPr>
          <w:rFonts w:hint="eastAsia" w:ascii="仿宋_GB2312" w:hAnsi="仿宋_GB2312" w:eastAsia="仿宋_GB2312" w:cs="仿宋_GB2312"/>
          <w:b/>
          <w:bCs/>
          <w:color w:val="000000" w:themeColor="text1"/>
          <w:sz w:val="28"/>
          <w:szCs w:val="28"/>
          <w:lang w:eastAsia="zh-CN"/>
          <w14:textFill>
            <w14:solidFill>
              <w14:schemeClr w14:val="tx1"/>
            </w14:solidFill>
          </w14:textFill>
        </w:rPr>
        <w:t>（二）赛场安全管理要求</w:t>
      </w:r>
    </w:p>
    <w:p w14:paraId="60B00ECF">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赛场布置，赛场内的器材、设备，应符合国家有关安全规定，并在竞赛现场安排技术支持人员，保障赛项设备安全稳定。</w:t>
      </w:r>
      <w:r>
        <w:rPr>
          <w:rFonts w:hint="eastAsia" w:ascii="仿宋_GB2312" w:hAnsi="宋体" w:eastAsia="仿宋_GB2312" w:cs="宋体"/>
          <w:sz w:val="28"/>
          <w:szCs w:val="28"/>
        </w:rPr>
        <w:t>竞赛现场提供应急的备用电源，同时设置备用工位和设备，经现场裁判确定需要更换设备或者调整工位时，可及时更换。更换设备或者调整工位的时间，可在比赛结束后相应延时。</w:t>
      </w:r>
    </w:p>
    <w:p w14:paraId="3CD86B0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rPr>
      </w:pPr>
      <w:r>
        <w:rPr>
          <w:rFonts w:hint="eastAsia" w:ascii="仿宋_GB2312" w:hAnsi="仿宋_GB2312" w:eastAsia="仿宋_GB2312" w:cs="仿宋_GB2312"/>
          <w:color w:val="000000"/>
          <w:kern w:val="0"/>
          <w:sz w:val="28"/>
          <w:szCs w:val="28"/>
          <w:u w:color="000000"/>
          <w:lang w:val="en-US" w:eastAsia="zh-CN" w:bidi="ar-SA"/>
        </w:rPr>
        <w:t>2.赛场的指引、标识应进行统一设计，按规定使用大赛的标注、标识。赛场各功能区域、工位等应具有清晰的标注与标识。</w:t>
      </w:r>
    </w:p>
    <w:p w14:paraId="06638601">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textAlignment w:val="baseline"/>
        <w:rPr>
          <w:rFonts w:hint="eastAsia" w:ascii="仿宋_GB2312" w:hAnsi="仿宋_GB2312" w:eastAsia="仿宋_GB2312" w:cs="仿宋_GB2312"/>
          <w:sz w:val="28"/>
          <w:szCs w:val="28"/>
        </w:rPr>
      </w:pPr>
      <w:r>
        <w:rPr>
          <w:rFonts w:hint="eastAsia" w:ascii="仿宋_GB2312" w:hAnsi="仿宋_GB2312" w:cs="仿宋_GB2312"/>
          <w:sz w:val="28"/>
          <w:szCs w:val="28"/>
          <w:lang w:val="en-US" w:eastAsia="zh-CN"/>
        </w:rPr>
        <w:t>3.</w:t>
      </w:r>
      <w:r>
        <w:rPr>
          <w:rFonts w:hint="eastAsia" w:ascii="仿宋_GB2312" w:hAnsi="仿宋_GB2312" w:eastAsia="仿宋_GB2312" w:cs="仿宋_GB2312"/>
          <w:sz w:val="28"/>
          <w:szCs w:val="28"/>
        </w:rPr>
        <w:t>竞赛工位张贴安全操作说明。</w:t>
      </w:r>
    </w:p>
    <w:p w14:paraId="6EC489BA">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textAlignment w:val="baseline"/>
        <w:rPr>
          <w:rFonts w:hint="eastAsia" w:ascii="仿宋_GB2312" w:hAnsi="仿宋_GB2312" w:eastAsia="仿宋_GB2312" w:cs="仿宋_GB2312"/>
          <w:sz w:val="28"/>
          <w:szCs w:val="28"/>
        </w:rPr>
      </w:pPr>
      <w:r>
        <w:rPr>
          <w:rFonts w:hint="eastAsia" w:ascii="仿宋_GB2312" w:hAnsi="仿宋_GB2312" w:cs="仿宋_GB2312"/>
          <w:sz w:val="28"/>
          <w:szCs w:val="28"/>
          <w:lang w:val="en-US" w:eastAsia="zh-CN"/>
        </w:rPr>
        <w:t>4.</w:t>
      </w:r>
      <w:r>
        <w:rPr>
          <w:rFonts w:hint="eastAsia" w:ascii="仿宋_GB2312" w:hAnsi="仿宋_GB2312" w:eastAsia="仿宋_GB2312" w:cs="仿宋_GB2312"/>
          <w:sz w:val="28"/>
          <w:szCs w:val="28"/>
        </w:rPr>
        <w:t>赛前赛项执委会对全体裁判和工作人员进行安全培训，裁判员要严防选手出现具有危险性的操作。</w:t>
      </w:r>
    </w:p>
    <w:p w14:paraId="0C6F8ED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eastAsia="仿宋_GB2312"/>
          <w:lang w:eastAsia="zh-CN"/>
        </w:rPr>
      </w:pPr>
      <w:r>
        <w:rPr>
          <w:rFonts w:hint="eastAsia" w:ascii="仿宋_GB2312" w:hAnsi="仿宋_GB2312" w:eastAsia="仿宋_GB2312" w:cs="宋体"/>
          <w:sz w:val="28"/>
          <w:szCs w:val="28"/>
          <w:lang w:val="en-US" w:eastAsia="zh-CN"/>
        </w:rPr>
        <w:t>5.</w:t>
      </w:r>
      <w:r>
        <w:rPr>
          <w:rFonts w:hint="eastAsia" w:ascii="仿宋_GB2312" w:hAnsi="仿宋_GB2312" w:eastAsia="仿宋_GB2312" w:cs="宋体"/>
          <w:sz w:val="28"/>
          <w:szCs w:val="28"/>
        </w:rPr>
        <w:t>设置安全通道和警戒线，确保进入赛场的参观、采访和视察的人员在安全区域内活动，以保证大赛安全有序进行</w:t>
      </w:r>
      <w:r>
        <w:rPr>
          <w:rFonts w:hint="eastAsia" w:ascii="仿宋_GB2312" w:hAnsi="仿宋_GB2312" w:eastAsia="仿宋_GB2312" w:cs="宋体"/>
          <w:sz w:val="28"/>
          <w:szCs w:val="28"/>
          <w:lang w:eastAsia="zh-CN"/>
        </w:rPr>
        <w:t>。</w:t>
      </w:r>
    </w:p>
    <w:p w14:paraId="0DC288A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rPr>
          <w:rFonts w:hint="eastAsia" w:ascii="仿宋_GB2312" w:hAnsi="仿宋_GB2312" w:eastAsia="仿宋_GB2312" w:cs="仿宋_GB2312"/>
          <w:b/>
          <w:bCs/>
          <w:color w:val="000000" w:themeColor="text1"/>
          <w:sz w:val="28"/>
          <w:szCs w:val="28"/>
          <w:lang w:eastAsia="zh-CN"/>
          <w14:textFill>
            <w14:solidFill>
              <w14:schemeClr w14:val="tx1"/>
            </w14:solidFill>
          </w14:textFill>
        </w:rPr>
      </w:pPr>
      <w:r>
        <w:rPr>
          <w:rFonts w:hint="eastAsia" w:ascii="仿宋_GB2312" w:hAnsi="仿宋_GB2312" w:eastAsia="仿宋_GB2312" w:cs="仿宋_GB2312"/>
          <w:b/>
          <w:bCs/>
          <w:color w:val="000000" w:themeColor="text1"/>
          <w:sz w:val="28"/>
          <w:szCs w:val="28"/>
          <w:lang w:eastAsia="zh-CN"/>
          <w14:textFill>
            <w14:solidFill>
              <w14:schemeClr w14:val="tx1"/>
            </w14:solidFill>
          </w14:textFill>
        </w:rPr>
        <w:t>（三）竞赛环境安全要求</w:t>
      </w:r>
    </w:p>
    <w:p w14:paraId="7E7D2133">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承办单位赛前须按照执委会要求进行现场考察，排除安全隐患。</w:t>
      </w:r>
    </w:p>
    <w:p w14:paraId="65906848">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承办单位制定安全制度和应急预案，并配备急救人员与设施。</w:t>
      </w:r>
    </w:p>
    <w:p w14:paraId="3474AC2E">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制定人员疏导方案。赛场环境中存在人员密集、车流人流交错的区域，除了设置齐全的指示标志外，须增加引导人员，并开辟备用通道。</w:t>
      </w:r>
    </w:p>
    <w:p w14:paraId="1337C512">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竞赛现场需要进行网络安全控制，同时严禁易燃易爆以及各类危险品进入。</w:t>
      </w:r>
    </w:p>
    <w:p w14:paraId="7EF8717B">
      <w:pPr>
        <w:pStyle w:val="7"/>
        <w:keepNext w:val="0"/>
        <w:keepLines w:val="0"/>
        <w:pageBreakBefore w:val="0"/>
        <w:kinsoku/>
        <w:wordWrap/>
        <w:overflowPunct/>
        <w:topLinePunct w:val="0"/>
        <w:autoSpaceDE/>
        <w:autoSpaceDN/>
        <w:bidi w:val="0"/>
        <w:adjustRightInd/>
        <w:snapToGrid/>
        <w:spacing w:after="0" w:line="560" w:lineRule="exact"/>
        <w:ind w:left="0" w:leftChars="0" w:firstLine="560" w:firstLineChars="200"/>
        <w:rPr>
          <w:rFonts w:ascii="Times New Roman" w:hAnsi="Times New Roman" w:eastAsia="仿宋_GB2312" w:cs="仿宋"/>
          <w:sz w:val="28"/>
          <w:szCs w:val="28"/>
        </w:rPr>
      </w:pPr>
      <w:r>
        <w:rPr>
          <w:rFonts w:hint="eastAsia" w:ascii="仿宋_GB2312" w:hAnsi="仿宋_GB2312" w:eastAsia="仿宋_GB2312" w:cs="仿宋_GB2312"/>
          <w:color w:val="000000"/>
          <w:kern w:val="0"/>
          <w:sz w:val="28"/>
          <w:szCs w:val="28"/>
          <w:u w:color="000000"/>
          <w:lang w:val="en-US" w:eastAsia="zh-CN" w:bidi="ar-SA"/>
        </w:rPr>
        <w:t>5.</w:t>
      </w:r>
      <w:r>
        <w:rPr>
          <w:rFonts w:hint="eastAsia" w:ascii="Times New Roman" w:hAnsi="Times New Roman" w:eastAsia="仿宋_GB2312" w:cs="仿宋"/>
          <w:sz w:val="28"/>
          <w:szCs w:val="28"/>
        </w:rPr>
        <w:t>比赛期间发生意外事故时，发现者应第一时间报告大赛办公室，同时采取措施，避免事态扩大。大赛办公室应立即启动预案予以解决并向大赛组委会报告。出现重大安全问题，比赛可以停赛，是否停赛由大赛组委会决定。</w:t>
      </w:r>
    </w:p>
    <w:p w14:paraId="44EAE96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仿宋_GB2312" w:cs="仿宋"/>
          <w:sz w:val="28"/>
          <w:szCs w:val="28"/>
          <w:lang w:eastAsia="zh-CN"/>
        </w:rPr>
      </w:pPr>
      <w:r>
        <w:rPr>
          <w:rFonts w:hint="eastAsia" w:ascii="仿宋_GB2312" w:hAnsi="仿宋_GB2312" w:eastAsia="仿宋_GB2312" w:cs="仿宋_GB2312"/>
          <w:color w:val="000000"/>
          <w:kern w:val="0"/>
          <w:sz w:val="28"/>
          <w:szCs w:val="28"/>
          <w:u w:color="000000"/>
          <w:lang w:val="en-US" w:eastAsia="zh-CN" w:bidi="ar-SA"/>
        </w:rPr>
        <w:t>6.</w:t>
      </w:r>
      <w:r>
        <w:rPr>
          <w:rFonts w:hint="eastAsia" w:ascii="Times New Roman" w:hAnsi="Times New Roman" w:eastAsia="仿宋_GB2312" w:cs="仿宋"/>
          <w:sz w:val="28"/>
          <w:szCs w:val="28"/>
        </w:rPr>
        <w:t>赛场提供应急医疗措施和消防措施</w:t>
      </w:r>
      <w:r>
        <w:rPr>
          <w:rFonts w:hint="eastAsia" w:ascii="Times New Roman" w:hAnsi="Times New Roman" w:eastAsia="仿宋_GB2312" w:cs="仿宋"/>
          <w:sz w:val="28"/>
          <w:szCs w:val="28"/>
          <w:lang w:eastAsia="zh-CN"/>
        </w:rPr>
        <w:t>。</w:t>
      </w:r>
    </w:p>
    <w:p w14:paraId="48A134D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rPr>
          <w:rFonts w:hint="eastAsia" w:ascii="仿宋_GB2312" w:hAnsi="仿宋_GB2312" w:eastAsia="仿宋_GB2312" w:cs="仿宋_GB2312"/>
          <w:b/>
          <w:bCs/>
          <w:color w:val="000000" w:themeColor="text1"/>
          <w:sz w:val="28"/>
          <w:szCs w:val="28"/>
          <w:lang w:eastAsia="zh-CN"/>
          <w14:textFill>
            <w14:solidFill>
              <w14:schemeClr w14:val="tx1"/>
            </w14:solidFill>
          </w14:textFill>
        </w:rPr>
      </w:pPr>
      <w:r>
        <w:rPr>
          <w:rFonts w:hint="eastAsia" w:ascii="仿宋_GB2312" w:hAnsi="仿宋_GB2312" w:eastAsia="仿宋_GB2312" w:cs="仿宋_GB2312"/>
          <w:b/>
          <w:bCs/>
          <w:color w:val="000000" w:themeColor="text1"/>
          <w:sz w:val="28"/>
          <w:szCs w:val="28"/>
          <w:lang w:eastAsia="zh-CN"/>
          <w14:textFill>
            <w14:solidFill>
              <w14:schemeClr w14:val="tx1"/>
            </w14:solidFill>
          </w14:textFill>
        </w:rPr>
        <w:t>（四）参赛队伍安全责任</w:t>
      </w:r>
    </w:p>
    <w:p w14:paraId="2E7946C4">
      <w:pPr>
        <w:pStyle w:val="28"/>
        <w:keepNext w:val="0"/>
        <w:keepLines w:val="0"/>
        <w:pageBreakBefore w:val="0"/>
        <w:kinsoku/>
        <w:wordWrap/>
        <w:overflowPunct/>
        <w:topLinePunct w:val="0"/>
        <w:autoSpaceDE/>
        <w:autoSpaceDN/>
        <w:bidi w:val="0"/>
        <w:adjustRightInd/>
        <w:snapToGrid/>
        <w:spacing w:line="560" w:lineRule="exact"/>
        <w:ind w:left="0" w:leftChars="0" w:right="0" w:rightChars="0" w:firstLine="56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w:t>
      </w:r>
      <w:r>
        <w:rPr>
          <w:rFonts w:hint="eastAsia" w:ascii="仿宋_GB2312" w:hAnsi="仿宋_GB2312" w:cs="仿宋_GB2312"/>
          <w:color w:val="auto"/>
          <w:kern w:val="2"/>
          <w:sz w:val="28"/>
          <w:szCs w:val="28"/>
          <w:lang w:val="en-US" w:eastAsia="zh-CN" w:bidi="ar-SA"/>
        </w:rPr>
        <w:t>.</w:t>
      </w:r>
      <w:r>
        <w:rPr>
          <w:rFonts w:hint="eastAsia" w:ascii="仿宋_GB2312" w:hAnsi="仿宋_GB2312" w:eastAsia="仿宋_GB2312" w:cs="仿宋_GB2312"/>
          <w:color w:val="auto"/>
          <w:kern w:val="2"/>
          <w:sz w:val="28"/>
          <w:szCs w:val="28"/>
          <w:lang w:val="en-US" w:eastAsia="zh-CN" w:bidi="ar-SA"/>
        </w:rPr>
        <w:t>各参赛单位须为参赛选手购买大赛期间的人身意外伤害保险。</w:t>
      </w:r>
    </w:p>
    <w:p w14:paraId="5AF5E0FD">
      <w:pPr>
        <w:pStyle w:val="28"/>
        <w:keepNext w:val="0"/>
        <w:keepLines w:val="0"/>
        <w:pageBreakBefore w:val="0"/>
        <w:kinsoku/>
        <w:wordWrap/>
        <w:overflowPunct/>
        <w:topLinePunct w:val="0"/>
        <w:autoSpaceDE/>
        <w:autoSpaceDN/>
        <w:bidi w:val="0"/>
        <w:adjustRightInd/>
        <w:snapToGrid/>
        <w:spacing w:line="560" w:lineRule="exact"/>
        <w:ind w:left="0" w:leftChars="0" w:right="0" w:rightChars="0" w:firstLine="56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w:t>
      </w:r>
      <w:r>
        <w:rPr>
          <w:rFonts w:hint="eastAsia" w:ascii="仿宋_GB2312" w:hAnsi="仿宋_GB2312" w:cs="仿宋_GB2312"/>
          <w:color w:val="auto"/>
          <w:kern w:val="2"/>
          <w:sz w:val="28"/>
          <w:szCs w:val="28"/>
          <w:lang w:val="en-US" w:eastAsia="zh-CN" w:bidi="ar-SA"/>
        </w:rPr>
        <w:t>.</w:t>
      </w:r>
      <w:r>
        <w:rPr>
          <w:rFonts w:hint="eastAsia" w:ascii="仿宋_GB2312" w:hAnsi="仿宋_GB2312" w:eastAsia="仿宋_GB2312" w:cs="仿宋_GB2312"/>
          <w:color w:val="auto"/>
          <w:kern w:val="2"/>
          <w:sz w:val="28"/>
          <w:szCs w:val="28"/>
          <w:lang w:val="en-US" w:eastAsia="zh-CN" w:bidi="ar-SA"/>
        </w:rPr>
        <w:t>各参赛单位须制定相关管理制度，并对所有选手、指导教师进行安全教育。</w:t>
      </w:r>
    </w:p>
    <w:p w14:paraId="1F684F0C">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仿宋_GB2312" w:hAnsi="仿宋_GB2312" w:eastAsia="仿宋_GB2312" w:cs="仿宋_GB2312"/>
          <w:lang w:val="en-US" w:eastAsia="zh-CN"/>
        </w:rPr>
      </w:pPr>
      <w:r>
        <w:rPr>
          <w:rFonts w:hint="eastAsia" w:ascii="仿宋_GB2312" w:hAnsi="仿宋_GB2312" w:eastAsia="仿宋_GB2312" w:cs="仿宋_GB2312"/>
          <w:color w:val="auto"/>
          <w:kern w:val="2"/>
          <w:sz w:val="28"/>
          <w:szCs w:val="28"/>
          <w:u w:color="000000"/>
          <w:lang w:val="en-US" w:eastAsia="zh-CN" w:bidi="ar-SA"/>
        </w:rPr>
        <w:t>3.各参赛单位须加强对参与竞赛人员的安全管理，实现与赛场安全管理的对接</w:t>
      </w:r>
    </w:p>
    <w:p w14:paraId="687A0625">
      <w:pPr>
        <w:pStyle w:val="3"/>
        <w:keepNext/>
        <w:keepLines/>
        <w:pageBreakBefore w:val="0"/>
        <w:widowControl w:val="0"/>
        <w:kinsoku/>
        <w:wordWrap/>
        <w:overflowPunct/>
        <w:topLinePunct w:val="0"/>
        <w:autoSpaceDE/>
        <w:autoSpaceDN/>
        <w:bidi w:val="0"/>
        <w:adjustRightInd/>
        <w:snapToGrid/>
        <w:spacing w:before="157" w:beforeLines="50" w:after="157" w:afterLines="50" w:line="560" w:lineRule="exact"/>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八</w:t>
      </w:r>
      <w:r>
        <w:rPr>
          <w:rFonts w:hint="eastAsia" w:ascii="黑体" w:hAnsi="黑体" w:eastAsia="黑体" w:cs="黑体"/>
          <w:sz w:val="32"/>
          <w:szCs w:val="32"/>
        </w:rPr>
        <w:t>、竞赛须知</w:t>
      </w:r>
    </w:p>
    <w:p w14:paraId="7B414DF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rPr>
          <w:rFonts w:hint="eastAsia" w:ascii="仿宋_GB2312" w:hAnsi="仿宋_GB2312" w:eastAsia="仿宋_GB2312" w:cs="仿宋_GB2312"/>
          <w:b/>
          <w:bCs/>
          <w:color w:val="000000" w:themeColor="text1"/>
          <w:sz w:val="28"/>
          <w:szCs w:val="28"/>
          <w:lang w:eastAsia="zh-CN"/>
          <w14:textFill>
            <w14:solidFill>
              <w14:schemeClr w14:val="tx1"/>
            </w14:solidFill>
          </w14:textFill>
        </w:rPr>
      </w:pPr>
      <w:r>
        <w:rPr>
          <w:rFonts w:hint="eastAsia" w:ascii="仿宋_GB2312" w:hAnsi="仿宋_GB2312" w:eastAsia="仿宋_GB2312" w:cs="仿宋_GB2312"/>
          <w:b/>
          <w:bCs/>
          <w:color w:val="000000" w:themeColor="text1"/>
          <w:sz w:val="28"/>
          <w:szCs w:val="28"/>
          <w:lang w:eastAsia="zh-CN"/>
          <w14:textFill>
            <w14:solidFill>
              <w14:schemeClr w14:val="tx1"/>
            </w14:solidFill>
          </w14:textFill>
        </w:rPr>
        <w:t>（一）参赛队须知</w:t>
      </w:r>
    </w:p>
    <w:p w14:paraId="2C35DD79">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参赛队名称统一使用规定的代表队名称。</w:t>
      </w:r>
    </w:p>
    <w:p w14:paraId="5D2BFBC1">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cs="仿宋_GB2312"/>
          <w:sz w:val="28"/>
          <w:szCs w:val="28"/>
          <w:lang w:val="en-US" w:eastAsia="zh-CN"/>
        </w:rPr>
        <w:t>2.</w:t>
      </w:r>
      <w:r>
        <w:rPr>
          <w:rFonts w:hint="eastAsia" w:ascii="仿宋_GB2312" w:hAnsi="仿宋_GB2312" w:eastAsia="仿宋_GB2312" w:cs="仿宋_GB2312"/>
          <w:sz w:val="28"/>
          <w:szCs w:val="28"/>
        </w:rPr>
        <w:t>各参赛队要注意饮食卫生，防止食物中毒。</w:t>
      </w:r>
    </w:p>
    <w:p w14:paraId="2D448806">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cs="仿宋_GB2312"/>
          <w:sz w:val="28"/>
          <w:szCs w:val="28"/>
          <w:lang w:val="en-US" w:eastAsia="zh-CN"/>
        </w:rPr>
        <w:t>3.</w:t>
      </w:r>
      <w:r>
        <w:rPr>
          <w:rFonts w:hint="eastAsia" w:ascii="仿宋_GB2312" w:hAnsi="仿宋_GB2312" w:eastAsia="仿宋_GB2312" w:cs="仿宋_GB2312"/>
          <w:sz w:val="28"/>
          <w:szCs w:val="28"/>
        </w:rPr>
        <w:t>各参赛队应该参加赛项承办单位组织的闭赛式等各项赛事活动。</w:t>
      </w:r>
    </w:p>
    <w:p w14:paraId="3C790D02">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cs="仿宋_GB2312"/>
          <w:sz w:val="28"/>
          <w:szCs w:val="28"/>
          <w:lang w:val="en-US" w:eastAsia="zh-CN"/>
        </w:rPr>
        <w:t>4.</w:t>
      </w:r>
      <w:r>
        <w:rPr>
          <w:rFonts w:hint="eastAsia" w:ascii="仿宋_GB2312" w:hAnsi="仿宋_GB2312" w:eastAsia="仿宋_GB2312" w:cs="仿宋_GB2312"/>
          <w:sz w:val="28"/>
          <w:szCs w:val="28"/>
        </w:rPr>
        <w:t>在赛事期间，领队及参赛队其他成员不得私自接触裁判，凡发现有弄虚作假者，取消其参赛资格，成绩无效。</w:t>
      </w:r>
    </w:p>
    <w:p w14:paraId="09FC2E9E">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cs="仿宋_GB2312"/>
          <w:sz w:val="28"/>
          <w:szCs w:val="28"/>
          <w:lang w:val="en-US" w:eastAsia="zh-CN"/>
        </w:rPr>
        <w:t>5.</w:t>
      </w:r>
      <w:r>
        <w:rPr>
          <w:rFonts w:hint="eastAsia" w:ascii="仿宋_GB2312" w:hAnsi="仿宋_GB2312" w:eastAsia="仿宋_GB2312" w:cs="仿宋_GB2312"/>
          <w:sz w:val="28"/>
          <w:szCs w:val="28"/>
        </w:rPr>
        <w:t>所有参赛人员须按照赛项规程要求完成赛项评价工作。</w:t>
      </w:r>
    </w:p>
    <w:p w14:paraId="6717B6B4">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cs="仿宋_GB2312"/>
          <w:sz w:val="28"/>
          <w:szCs w:val="28"/>
          <w:lang w:val="en-US" w:eastAsia="zh-CN"/>
        </w:rPr>
        <w:t>6.</w:t>
      </w:r>
      <w:r>
        <w:rPr>
          <w:rFonts w:hint="eastAsia" w:ascii="仿宋_GB2312" w:hAnsi="仿宋_GB2312" w:eastAsia="仿宋_GB2312" w:cs="仿宋_GB2312"/>
          <w:sz w:val="28"/>
          <w:szCs w:val="28"/>
        </w:rPr>
        <w:t>对于有碍比赛公正和比赛正常进行的参赛队，视其情节轻重，给予警告、取消比赛成绩、通报批评等处理。</w:t>
      </w:r>
    </w:p>
    <w:p w14:paraId="778830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（二）参赛领队须知</w:t>
      </w:r>
    </w:p>
    <w:p w14:paraId="0F079D98">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cs="仿宋_GB2312"/>
          <w:sz w:val="28"/>
          <w:szCs w:val="28"/>
          <w:lang w:val="en-US" w:eastAsia="zh-CN"/>
        </w:rPr>
        <w:t>.</w:t>
      </w:r>
      <w:r>
        <w:rPr>
          <w:rFonts w:hint="eastAsia" w:ascii="仿宋_GB2312" w:hAnsi="仿宋_GB2312" w:eastAsia="仿宋_GB2312" w:cs="仿宋_GB2312"/>
          <w:sz w:val="28"/>
          <w:szCs w:val="28"/>
        </w:rPr>
        <w:t>赛项领队应该由参赛院校中层以上管理人员或教育行政部门人员担任，熟悉赛项流程，具备管理与组织协调能力。</w:t>
      </w:r>
    </w:p>
    <w:p w14:paraId="47BCDE6F">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领队应按时参加赛前领队会议，不得无故缺席。</w:t>
      </w:r>
    </w:p>
    <w:p w14:paraId="4CC4D853">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领队负责组织本省参赛队参加各项赛事活动。</w:t>
      </w:r>
    </w:p>
    <w:p w14:paraId="6A952E11">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领队应积极做好参赛队的服务工作，协调各参赛队与赛项组织机构、承办院校的对接。</w:t>
      </w:r>
    </w:p>
    <w:p w14:paraId="30EAF4F7">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参赛队认为存在不符合竞赛规定的设备、工具、软件，有失公正的评判、奖励，以及工作人员的违规行为等情况时，须由领队向赛项监督仲裁组提交书面申诉材料。各参赛队领队应带头服从和执行申诉的最终仲裁结果，并要求指导教师、选手服从和执行。</w:t>
      </w:r>
    </w:p>
    <w:p w14:paraId="685F42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rPr>
          <w:rFonts w:hint="eastAsia" w:ascii="仿宋_GB2312" w:hAnsi="仿宋_GB2312" w:eastAsia="仿宋_GB2312" w:cs="仿宋_GB2312"/>
          <w:b/>
          <w:bCs/>
          <w:color w:val="000000" w:themeColor="text1"/>
          <w:sz w:val="28"/>
          <w:szCs w:val="28"/>
          <w:lang w:eastAsia="zh-CN"/>
          <w14:textFill>
            <w14:solidFill>
              <w14:schemeClr w14:val="tx1"/>
            </w14:solidFill>
          </w14:textFill>
        </w:rPr>
      </w:pPr>
      <w:r>
        <w:rPr>
          <w:rFonts w:hint="eastAsia" w:ascii="仿宋_GB2312" w:hAnsi="仿宋_GB2312" w:eastAsia="仿宋_GB2312" w:cs="仿宋_GB2312"/>
          <w:b/>
          <w:bCs/>
          <w:color w:val="000000" w:themeColor="text1"/>
          <w:sz w:val="28"/>
          <w:szCs w:val="28"/>
          <w:lang w:eastAsia="zh-CN"/>
          <w14:textFill>
            <w14:solidFill>
              <w14:schemeClr w14:val="tx1"/>
            </w14:solidFill>
          </w14:textFill>
        </w:rPr>
        <w:t>（三）指导教师须知</w:t>
      </w:r>
    </w:p>
    <w:p w14:paraId="18ABDD16">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cs="仿宋_GB2312"/>
          <w:sz w:val="28"/>
          <w:szCs w:val="28"/>
          <w:lang w:val="en-US" w:eastAsia="zh-CN"/>
        </w:rPr>
        <w:t>.</w:t>
      </w:r>
      <w:r>
        <w:rPr>
          <w:rFonts w:hint="eastAsia" w:ascii="仿宋_GB2312" w:hAnsi="仿宋_GB2312" w:eastAsia="仿宋_GB2312" w:cs="仿宋_GB2312"/>
          <w:sz w:val="28"/>
          <w:szCs w:val="28"/>
        </w:rPr>
        <w:t>指导教师应根据专业教学计划和赛项规程合理制定训练方案，认真指导选手训练，培养选手的综合职业能力和良好的职业素养，克服功利化思想，避免为赛而学、以赛代学。</w:t>
      </w:r>
    </w:p>
    <w:p w14:paraId="23E8BA03">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hint="eastAsia" w:ascii="仿宋_GB2312" w:hAnsi="仿宋_GB2312" w:cs="仿宋_GB2312"/>
          <w:sz w:val="28"/>
          <w:szCs w:val="28"/>
          <w:lang w:val="en-US" w:eastAsia="zh-CN"/>
        </w:rPr>
        <w:t>.</w:t>
      </w:r>
      <w:r>
        <w:rPr>
          <w:rFonts w:hint="eastAsia" w:ascii="仿宋_GB2312" w:hAnsi="仿宋_GB2312" w:eastAsia="仿宋_GB2312" w:cs="仿宋_GB2312"/>
          <w:sz w:val="28"/>
          <w:szCs w:val="28"/>
        </w:rPr>
        <w:t>指导老师应及时查看大赛专用网页有关赛项的通知和内容，认真研究和掌握本赛项规程、技术规范和赛场要求，指导选手做好赛前的一切技术准备和竞赛准备。</w:t>
      </w:r>
    </w:p>
    <w:p w14:paraId="7856BB38">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r>
        <w:rPr>
          <w:rFonts w:hint="eastAsia" w:ascii="仿宋_GB2312" w:hAnsi="仿宋_GB2312" w:cs="仿宋_GB2312"/>
          <w:sz w:val="28"/>
          <w:szCs w:val="28"/>
          <w:lang w:val="en-US" w:eastAsia="zh-CN"/>
        </w:rPr>
        <w:t>.</w:t>
      </w:r>
      <w:r>
        <w:rPr>
          <w:rFonts w:hint="eastAsia" w:ascii="仿宋_GB2312" w:hAnsi="仿宋_GB2312" w:eastAsia="仿宋_GB2312" w:cs="仿宋_GB2312"/>
          <w:sz w:val="28"/>
          <w:szCs w:val="28"/>
        </w:rPr>
        <w:t>指导教师应根据赛项规程要求做好参赛选手保险办理工作，并积极做好选手的安全教育。</w:t>
      </w:r>
    </w:p>
    <w:p w14:paraId="2BCFF4B0">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w:t>
      </w:r>
      <w:r>
        <w:rPr>
          <w:rFonts w:hint="eastAsia" w:ascii="仿宋_GB2312" w:hAnsi="仿宋_GB2312" w:cs="仿宋_GB2312"/>
          <w:sz w:val="28"/>
          <w:szCs w:val="28"/>
          <w:lang w:val="en-US" w:eastAsia="zh-CN"/>
        </w:rPr>
        <w:t>.</w:t>
      </w:r>
      <w:r>
        <w:rPr>
          <w:rFonts w:hint="eastAsia" w:ascii="仿宋_GB2312" w:hAnsi="仿宋_GB2312" w:eastAsia="仿宋_GB2312" w:cs="仿宋_GB2312"/>
          <w:sz w:val="28"/>
          <w:szCs w:val="28"/>
        </w:rPr>
        <w:t>指导教师必须是参赛选手所在学校的在职专任教师，每个团队不超过2名指导教师，指导教师一经确定不得随意变更。</w:t>
      </w:r>
    </w:p>
    <w:p w14:paraId="7ACBA082">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5</w:t>
      </w:r>
      <w:r>
        <w:rPr>
          <w:rFonts w:hint="eastAsia" w:ascii="仿宋_GB2312" w:hAnsi="仿宋_GB2312" w:cs="仿宋_GB2312"/>
          <w:sz w:val="28"/>
          <w:szCs w:val="28"/>
          <w:lang w:val="en-US" w:eastAsia="zh-CN"/>
        </w:rPr>
        <w:t>.</w:t>
      </w:r>
      <w:r>
        <w:rPr>
          <w:rFonts w:hint="eastAsia" w:ascii="仿宋_GB2312" w:hAnsi="仿宋_GB2312" w:eastAsia="仿宋_GB2312" w:cs="仿宋_GB2312"/>
          <w:sz w:val="28"/>
          <w:szCs w:val="28"/>
        </w:rPr>
        <w:t>指导老师要发扬道德风尚，听从指挥，服从裁判，不弄虚作假。</w:t>
      </w:r>
    </w:p>
    <w:p w14:paraId="23C531FB">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6</w:t>
      </w:r>
      <w:r>
        <w:rPr>
          <w:rFonts w:hint="eastAsia" w:ascii="仿宋_GB2312" w:hAnsi="仿宋_GB2312" w:cs="仿宋_GB2312"/>
          <w:sz w:val="28"/>
          <w:szCs w:val="28"/>
          <w:lang w:val="en-US" w:eastAsia="zh-CN"/>
        </w:rPr>
        <w:t>.</w:t>
      </w:r>
      <w:bookmarkStart w:id="0" w:name="_GoBack"/>
      <w:bookmarkEnd w:id="0"/>
      <w:r>
        <w:rPr>
          <w:rFonts w:hint="eastAsia" w:ascii="仿宋_GB2312" w:hAnsi="仿宋_GB2312" w:eastAsia="仿宋_GB2312" w:cs="仿宋_GB2312"/>
          <w:sz w:val="28"/>
          <w:szCs w:val="28"/>
        </w:rPr>
        <w:t>对申诉的仲裁结果，领队和指导老师应带头服从和执行，还应说服参赛选手服从和执行。</w:t>
      </w:r>
    </w:p>
    <w:p w14:paraId="3CFF63E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rPr>
          <w:rFonts w:hint="eastAsia" w:ascii="仿宋_GB2312" w:hAnsi="仿宋_GB2312" w:eastAsia="仿宋_GB2312" w:cs="仿宋_GB2312"/>
          <w:b/>
          <w:bCs/>
          <w:color w:val="000000" w:themeColor="text1"/>
          <w:sz w:val="28"/>
          <w:szCs w:val="28"/>
          <w:lang w:eastAsia="zh-CN"/>
          <w14:textFill>
            <w14:solidFill>
              <w14:schemeClr w14:val="tx1"/>
            </w14:solidFill>
          </w14:textFill>
        </w:rPr>
      </w:pPr>
      <w:r>
        <w:rPr>
          <w:rFonts w:hint="eastAsia" w:ascii="仿宋_GB2312" w:hAnsi="仿宋_GB2312" w:eastAsia="仿宋_GB2312" w:cs="仿宋_GB2312"/>
          <w:b/>
          <w:bCs/>
          <w:color w:val="000000" w:themeColor="text1"/>
          <w:sz w:val="28"/>
          <w:szCs w:val="28"/>
          <w:lang w:eastAsia="zh-CN"/>
          <w14:textFill>
            <w14:solidFill>
              <w14:schemeClr w14:val="tx1"/>
            </w14:solidFill>
          </w14:textFill>
        </w:rPr>
        <w:t>（四）参赛选手须知</w:t>
      </w:r>
    </w:p>
    <w:p w14:paraId="30587663">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参赛选手应按有关要求如实填报个人信息，否则取消竞赛资格。</w:t>
      </w:r>
    </w:p>
    <w:p w14:paraId="4333F243">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参赛选手应持统一印制的参赛证，带齐身份证、注册的学生证。在赛场的着装，应符合职业要求。在赛场的表现，应体现自己良好的职业习惯和职业素养。</w:t>
      </w:r>
    </w:p>
    <w:p w14:paraId="2783FDF8">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参赛选手应遵守比赛规则，尊重裁判和赛场工作人员，自觉遵守赛场秩序，服从裁判的管理。</w:t>
      </w:r>
    </w:p>
    <w:p w14:paraId="0E622B84">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参赛选手应按照规定时间抵达赛场，凭参赛证、身份证件检录，按要求入场，不得迟到早退。</w:t>
      </w:r>
    </w:p>
    <w:p w14:paraId="4FAD0BBF">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参加选手请勿携带任何电子设备及其他资料、用品进入赛场。</w:t>
      </w:r>
    </w:p>
    <w:p w14:paraId="6F2E14D1">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参赛选手应按有关要求在指定位置就坐。</w:t>
      </w:r>
    </w:p>
    <w:p w14:paraId="58115A25">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参赛选手须在确认竞赛内容和现场设备等无误后开始竞赛。在竞赛过程中，确因计算机软件或硬件故障，致使操作无法继续的，经项目裁判长确认，予以启用备用计算机。</w:t>
      </w:r>
    </w:p>
    <w:p w14:paraId="10335A3E">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竞赛过程中不准互相交谈，不得大声喧哗；不得有影响其他选手比赛的行为，不准有旁窥、夹带等作弊行为。</w:t>
      </w:r>
    </w:p>
    <w:p w14:paraId="300B0930">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竞赛过程中需要去洗手间，应报告现场裁判，由裁判或赛场工作人员陪同离开赛场。</w:t>
      </w:r>
    </w:p>
    <w:p w14:paraId="73B30B7B">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10</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各参赛选手必须按规范要求操作竞赛设备。一旦出现较严重的安全事故，经裁判长批准后将立即取消其参赛资格。</w:t>
      </w:r>
    </w:p>
    <w:p w14:paraId="4A6F0616">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11</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参赛选手需详细阅读赛题中竞赛文档命名的要求，不得在提交的竞赛文档中标识出任何关于参赛选手地名、校名、姓名、参赛编号等信息，否则取消竞赛成绩。</w:t>
      </w:r>
    </w:p>
    <w:p w14:paraId="079F5508">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12</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完成竞赛任务后，需要在竞赛结束前离开赛场，应向现场裁判示意，在赛场记录上填写离场时间并签工位号确认后，方可离开赛场到指定区域，离开赛场后不可再次进入。未完成竞赛任务，因病或其他原因需要终止竞赛离开赛场，需经裁判长同意，在赛场记录表的相应栏目填写离场原因、离场时间并签工位号确认后，方可离开；离开后，不能再次进入赛场，离开赛场时不得带走任何资料。</w:t>
      </w:r>
    </w:p>
    <w:p w14:paraId="41BAC4E1">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13</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裁判长发出停止竞赛的指令，选手（包括需要补时的选手）应立即停止操作，在现场裁判的指挥下离开赛场到达指定的区域等候评分。需要补时的选手在离场后，由现场裁判召唤进场补时。</w:t>
      </w:r>
    </w:p>
    <w:p w14:paraId="7F0A4781">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14</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遇突发事件，立即报告裁判和赛场工作人员，按赛场裁判和工作人员的指令行动。</w:t>
      </w:r>
    </w:p>
    <w:p w14:paraId="183EE5F8">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15</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在竞赛期间，未经执委会批准，参赛选手不得接受其他单位和个人进行的与竞赛内容相关的采访。参赛选手不得将竞赛的相关信息私自公布。</w:t>
      </w:r>
    </w:p>
    <w:p w14:paraId="784EBF2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rPr>
          <w:rFonts w:hint="eastAsia" w:ascii="仿宋_GB2312" w:hAnsi="仿宋_GB2312" w:eastAsia="仿宋_GB2312" w:cs="仿宋_GB2312"/>
          <w:b/>
          <w:bCs/>
          <w:color w:val="000000" w:themeColor="text1"/>
          <w:sz w:val="28"/>
          <w:szCs w:val="28"/>
          <w:lang w:eastAsia="zh-CN"/>
          <w14:textFill>
            <w14:solidFill>
              <w14:schemeClr w14:val="tx1"/>
            </w14:solidFill>
          </w14:textFill>
        </w:rPr>
      </w:pPr>
      <w:r>
        <w:rPr>
          <w:rFonts w:hint="eastAsia" w:ascii="仿宋_GB2312" w:hAnsi="仿宋_GB2312" w:eastAsia="仿宋_GB2312" w:cs="仿宋_GB2312"/>
          <w:b/>
          <w:bCs/>
          <w:color w:val="000000" w:themeColor="text1"/>
          <w:sz w:val="28"/>
          <w:szCs w:val="28"/>
          <w:lang w:eastAsia="zh-CN"/>
          <w14:textFill>
            <w14:solidFill>
              <w14:schemeClr w14:val="tx1"/>
            </w14:solidFill>
          </w14:textFill>
        </w:rPr>
        <w:t>（五）工作人员须知</w:t>
      </w:r>
    </w:p>
    <w:p w14:paraId="426E77BD">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工作人员必须服从赛项组委会统一指挥，佩戴工作人员标识，认真履行职责，忠于职守，秉公办理，保守秘密，做好服务赛场、服务选手的工作。</w:t>
      </w:r>
    </w:p>
    <w:p w14:paraId="4C8D900A">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工作人员按照分工准时上岗，不得擅自离岗，应认真履行各自的工作职责，保证竞赛工作的顺利进行。</w:t>
      </w:r>
    </w:p>
    <w:p w14:paraId="13F32AAE">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注意文明礼貌，保持良好形象，熟悉赛项指南。</w:t>
      </w:r>
    </w:p>
    <w:p w14:paraId="385347B6">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提前30分钟到达赛场，严守工作岗位，不迟到，不早退，不得无故离岗，特殊情况需向工作组组长请假。</w:t>
      </w:r>
    </w:p>
    <w:p w14:paraId="33D1813C">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熟悉竞赛规程，严格按照工作程序和有关规定办事，如遇突发事件，按照应急预案，组织指挥人员疏散，确保人员安全。</w:t>
      </w:r>
    </w:p>
    <w:p w14:paraId="14B6E60A">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工作人员在竞赛中若有舞弊行为，立即撤销其工作资格，并严肃处理。</w:t>
      </w:r>
    </w:p>
    <w:p w14:paraId="627C29F7">
      <w:pPr>
        <w:pStyle w:val="28"/>
        <w:keepNext w:val="0"/>
        <w:keepLines w:val="0"/>
        <w:pageBreakBefore w:val="0"/>
        <w:widowControl/>
        <w:kinsoku/>
        <w:wordWrap/>
        <w:overflowPunct/>
        <w:topLinePunct w:val="0"/>
        <w:autoSpaceDE/>
        <w:autoSpaceDN/>
        <w:bidi w:val="0"/>
        <w:adjustRightInd/>
        <w:snapToGrid/>
        <w:spacing w:line="560" w:lineRule="exact"/>
        <w:ind w:left="0" w:leftChars="0" w:right="0" w:rightChars="0" w:firstLine="560" w:firstLineChars="200"/>
        <w:textAlignment w:val="baseline"/>
        <w:rPr>
          <w:rFonts w:hint="eastAsia" w:ascii="仿宋_GB2312" w:hAnsi="仿宋_GB2312" w:cs="仿宋_GB2312"/>
          <w:sz w:val="28"/>
          <w:szCs w:val="28"/>
          <w:lang w:eastAsia="zh-CN"/>
        </w:rPr>
      </w:pPr>
      <w:r>
        <w:rPr>
          <w:rFonts w:hint="eastAsia" w:ascii="仿宋_GB2312" w:hAnsi="仿宋_GB2312" w:eastAsia="仿宋_GB2312" w:cs="仿宋_GB2312"/>
          <w:sz w:val="28"/>
          <w:szCs w:val="28"/>
        </w:rPr>
        <w:t>7</w:t>
      </w:r>
      <w:r>
        <w:rPr>
          <w:rFonts w:hint="eastAsia" w:ascii="仿宋_GB2312" w:hAnsi="仿宋_GB2312" w:cs="仿宋_GB2312"/>
          <w:sz w:val="28"/>
          <w:szCs w:val="28"/>
          <w:lang w:eastAsia="zh-CN"/>
        </w:rPr>
        <w:t>.</w:t>
      </w:r>
      <w:r>
        <w:rPr>
          <w:rFonts w:hint="eastAsia" w:ascii="仿宋_GB2312" w:hAnsi="仿宋_GB2312" w:eastAsia="仿宋_GB2312" w:cs="仿宋_GB2312"/>
          <w:sz w:val="28"/>
          <w:szCs w:val="28"/>
        </w:rPr>
        <w:t>保持通讯畅通，服从统一领导，严格遵守竞赛纪律，加强协作配合，提高工作效率</w:t>
      </w:r>
      <w:r>
        <w:rPr>
          <w:rFonts w:hint="eastAsia" w:ascii="仿宋_GB2312" w:hAnsi="仿宋_GB2312" w:cs="仿宋_GB2312"/>
          <w:sz w:val="28"/>
          <w:szCs w:val="28"/>
          <w:lang w:eastAsia="zh-CN"/>
        </w:rPr>
        <w:t>。</w:t>
      </w:r>
    </w:p>
    <w:p w14:paraId="31C2D5C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50"/>
        <w:textAlignment w:val="auto"/>
        <w:rPr>
          <w:rFonts w:hint="default" w:ascii="Times New Roman" w:hAnsi="Times New Roman" w:eastAsia="仿宋_GB2312" w:cstheme="minorBidi"/>
          <w:color w:val="000000"/>
          <w:kern w:val="0"/>
          <w:sz w:val="28"/>
          <w:szCs w:val="28"/>
          <w:u w:color="000000"/>
          <w:lang w:val="en-US" w:eastAsia="zh-CN" w:bidi="ar-SA"/>
        </w:rPr>
      </w:pPr>
    </w:p>
    <w:sectPr>
      <w:pgSz w:w="11906" w:h="16838"/>
      <w:pgMar w:top="1361" w:right="1304" w:bottom="1361"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FE38585-F0A8-41FF-9951-25B738A5674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907083E-A9BD-4674-8AB1-D0E7A96335C3}"/>
  </w:font>
  <w:font w:name="仿宋_GB2312">
    <w:panose1 w:val="02010609030101010101"/>
    <w:charset w:val="86"/>
    <w:family w:val="auto"/>
    <w:pitch w:val="default"/>
    <w:sig w:usb0="00000001" w:usb1="080E0000" w:usb2="00000000" w:usb3="00000000" w:csb0="00040000" w:csb1="00000000"/>
    <w:embedRegular r:id="rId3" w:fontKey="{B394FCA8-FB8E-4F1D-A8C1-90163DDAAB3E}"/>
  </w:font>
  <w:font w:name="方正小标宋简体">
    <w:panose1 w:val="02000000000000000000"/>
    <w:charset w:val="86"/>
    <w:family w:val="auto"/>
    <w:pitch w:val="default"/>
    <w:sig w:usb0="A00002BF" w:usb1="184F6CFA" w:usb2="00000012" w:usb3="00000000" w:csb0="00040001" w:csb1="00000000"/>
    <w:embedRegular r:id="rId4" w:fontKey="{77D1FD24-8260-48B4-B9D6-0143AE0ACFE0}"/>
  </w:font>
  <w:font w:name="Microsoft JhengHei">
    <w:panose1 w:val="020B0604030504040204"/>
    <w:charset w:val="88"/>
    <w:family w:val="swiss"/>
    <w:pitch w:val="default"/>
    <w:sig w:usb0="000002A7" w:usb1="28CF4400" w:usb2="00000016" w:usb3="00000000" w:csb0="00100009" w:csb1="00000000"/>
  </w:font>
  <w:font w:name="仿宋">
    <w:panose1 w:val="02010609060101010101"/>
    <w:charset w:val="86"/>
    <w:family w:val="auto"/>
    <w:pitch w:val="default"/>
    <w:sig w:usb0="800002BF" w:usb1="38CF7CFA" w:usb2="00000016" w:usb3="00000000" w:csb0="00040001" w:csb1="00000000"/>
    <w:embedRegular r:id="rId5" w:fontKey="{A99DD83D-E3A4-4FD8-AECE-0D5262181419}"/>
  </w:font>
  <w:font w:name="Tahoma">
    <w:panose1 w:val="020B0604030504040204"/>
    <w:charset w:val="00"/>
    <w:family w:val="swiss"/>
    <w:pitch w:val="default"/>
    <w:sig w:usb0="E1002EFF" w:usb1="C000605B" w:usb2="00000029" w:usb3="00000000" w:csb0="200101FF" w:csb1="20280000"/>
  </w:font>
  <w:font w:name="方正公文小标宋">
    <w:panose1 w:val="02000500000000000000"/>
    <w:charset w:val="86"/>
    <w:family w:val="auto"/>
    <w:pitch w:val="default"/>
    <w:sig w:usb0="A00002BF" w:usb1="38CF7CFA" w:usb2="00000016" w:usb3="00000000" w:csb0="00040001" w:csb1="00000000"/>
    <w:embedRegular r:id="rId6" w:fontKey="{ECA48341-38EF-4763-9F38-44FD585AF09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50801F"/>
    <w:multiLevelType w:val="singleLevel"/>
    <w:tmpl w:val="BA50801F"/>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TrueTypeFonts/>
  <w:saveSubset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NGEyYmY3ZjFmOTdmNWU3ZTdhMmU0ODE5MWQ1N2UifQ=="/>
  </w:docVars>
  <w:rsids>
    <w:rsidRoot w:val="4B1545D5"/>
    <w:rsid w:val="001A2E8E"/>
    <w:rsid w:val="001C630D"/>
    <w:rsid w:val="00225378"/>
    <w:rsid w:val="00236AA3"/>
    <w:rsid w:val="003015F2"/>
    <w:rsid w:val="003B643A"/>
    <w:rsid w:val="00494FFB"/>
    <w:rsid w:val="00691D8F"/>
    <w:rsid w:val="00742294"/>
    <w:rsid w:val="008C4231"/>
    <w:rsid w:val="00CF4F84"/>
    <w:rsid w:val="01172A03"/>
    <w:rsid w:val="01430999"/>
    <w:rsid w:val="016878EF"/>
    <w:rsid w:val="01791910"/>
    <w:rsid w:val="023B23AE"/>
    <w:rsid w:val="023F1EB2"/>
    <w:rsid w:val="027F2F56"/>
    <w:rsid w:val="02A604E3"/>
    <w:rsid w:val="03420FE5"/>
    <w:rsid w:val="038B4392"/>
    <w:rsid w:val="03965CA4"/>
    <w:rsid w:val="03D90444"/>
    <w:rsid w:val="043F7BA2"/>
    <w:rsid w:val="044066DF"/>
    <w:rsid w:val="04455AD9"/>
    <w:rsid w:val="04854128"/>
    <w:rsid w:val="048B7990"/>
    <w:rsid w:val="04AF07A7"/>
    <w:rsid w:val="04B36EE7"/>
    <w:rsid w:val="04E814DD"/>
    <w:rsid w:val="04FE5BBF"/>
    <w:rsid w:val="050B0AD1"/>
    <w:rsid w:val="05433F57"/>
    <w:rsid w:val="056A4D67"/>
    <w:rsid w:val="05D435B9"/>
    <w:rsid w:val="06190FCC"/>
    <w:rsid w:val="065B3392"/>
    <w:rsid w:val="069D39AB"/>
    <w:rsid w:val="076D7821"/>
    <w:rsid w:val="085C3911"/>
    <w:rsid w:val="08925DEA"/>
    <w:rsid w:val="08D57689"/>
    <w:rsid w:val="08DF02AB"/>
    <w:rsid w:val="094B3302"/>
    <w:rsid w:val="09646104"/>
    <w:rsid w:val="096D4E60"/>
    <w:rsid w:val="098B0432"/>
    <w:rsid w:val="0A206A06"/>
    <w:rsid w:val="0ACC543A"/>
    <w:rsid w:val="0AFF2E86"/>
    <w:rsid w:val="0B4E5BBB"/>
    <w:rsid w:val="0BC1638D"/>
    <w:rsid w:val="0BF51ABF"/>
    <w:rsid w:val="0C122745"/>
    <w:rsid w:val="0C295ECD"/>
    <w:rsid w:val="0C9E047D"/>
    <w:rsid w:val="0CFB744E"/>
    <w:rsid w:val="0D073D51"/>
    <w:rsid w:val="0DA56BE3"/>
    <w:rsid w:val="0E5369F5"/>
    <w:rsid w:val="0E5E4367"/>
    <w:rsid w:val="0E9C09EC"/>
    <w:rsid w:val="0EA51F39"/>
    <w:rsid w:val="0EB7236D"/>
    <w:rsid w:val="0F121199"/>
    <w:rsid w:val="0FAA14A2"/>
    <w:rsid w:val="10533984"/>
    <w:rsid w:val="10790FE5"/>
    <w:rsid w:val="10AC760C"/>
    <w:rsid w:val="10DD4DA7"/>
    <w:rsid w:val="11B147AE"/>
    <w:rsid w:val="11E66A9D"/>
    <w:rsid w:val="12296A3A"/>
    <w:rsid w:val="12900868"/>
    <w:rsid w:val="12C758BE"/>
    <w:rsid w:val="12ED1816"/>
    <w:rsid w:val="13531FC1"/>
    <w:rsid w:val="139E4F28"/>
    <w:rsid w:val="14215C1B"/>
    <w:rsid w:val="14263231"/>
    <w:rsid w:val="14570B5B"/>
    <w:rsid w:val="15482A8B"/>
    <w:rsid w:val="155C13A8"/>
    <w:rsid w:val="15713D3C"/>
    <w:rsid w:val="15AD6A65"/>
    <w:rsid w:val="15AF4BF0"/>
    <w:rsid w:val="15B074C6"/>
    <w:rsid w:val="15CF3E70"/>
    <w:rsid w:val="15E321C1"/>
    <w:rsid w:val="16591BE3"/>
    <w:rsid w:val="16D467D0"/>
    <w:rsid w:val="16E166C1"/>
    <w:rsid w:val="172577D0"/>
    <w:rsid w:val="173070DB"/>
    <w:rsid w:val="1763654B"/>
    <w:rsid w:val="17A64281"/>
    <w:rsid w:val="17C53980"/>
    <w:rsid w:val="18000247"/>
    <w:rsid w:val="1833416F"/>
    <w:rsid w:val="18C9692B"/>
    <w:rsid w:val="18D771F0"/>
    <w:rsid w:val="1932012C"/>
    <w:rsid w:val="19341F4D"/>
    <w:rsid w:val="19375EE1"/>
    <w:rsid w:val="19460319"/>
    <w:rsid w:val="195919B3"/>
    <w:rsid w:val="19950AE8"/>
    <w:rsid w:val="19A8293B"/>
    <w:rsid w:val="1A295829"/>
    <w:rsid w:val="1A516B2E"/>
    <w:rsid w:val="1A53464F"/>
    <w:rsid w:val="1A772A39"/>
    <w:rsid w:val="1ACD2659"/>
    <w:rsid w:val="1B2B737F"/>
    <w:rsid w:val="1B3557F0"/>
    <w:rsid w:val="1B4641B9"/>
    <w:rsid w:val="1B5E7755"/>
    <w:rsid w:val="1BA15893"/>
    <w:rsid w:val="1BB50125"/>
    <w:rsid w:val="1BD6553D"/>
    <w:rsid w:val="1BEA0392"/>
    <w:rsid w:val="1BF105C9"/>
    <w:rsid w:val="1C370440"/>
    <w:rsid w:val="1C831E1E"/>
    <w:rsid w:val="1CEE591A"/>
    <w:rsid w:val="1D214EDE"/>
    <w:rsid w:val="1D29388C"/>
    <w:rsid w:val="1D332B54"/>
    <w:rsid w:val="1D4D7BED"/>
    <w:rsid w:val="1D5259EE"/>
    <w:rsid w:val="1DAA6C81"/>
    <w:rsid w:val="1DFE39B0"/>
    <w:rsid w:val="1E5014DB"/>
    <w:rsid w:val="1E65704C"/>
    <w:rsid w:val="1EEA537B"/>
    <w:rsid w:val="20260858"/>
    <w:rsid w:val="20464755"/>
    <w:rsid w:val="204B4D31"/>
    <w:rsid w:val="2056391D"/>
    <w:rsid w:val="20B54482"/>
    <w:rsid w:val="21380A48"/>
    <w:rsid w:val="213D7E0C"/>
    <w:rsid w:val="21515666"/>
    <w:rsid w:val="21582E98"/>
    <w:rsid w:val="21A257C6"/>
    <w:rsid w:val="22177AF6"/>
    <w:rsid w:val="225A57B2"/>
    <w:rsid w:val="226A69DF"/>
    <w:rsid w:val="229D50DC"/>
    <w:rsid w:val="22FF2E52"/>
    <w:rsid w:val="232547FE"/>
    <w:rsid w:val="238E494F"/>
    <w:rsid w:val="23BA5744"/>
    <w:rsid w:val="23C87E61"/>
    <w:rsid w:val="23D9206E"/>
    <w:rsid w:val="241F37F9"/>
    <w:rsid w:val="243A6885"/>
    <w:rsid w:val="24626B2A"/>
    <w:rsid w:val="249935AC"/>
    <w:rsid w:val="25972A2D"/>
    <w:rsid w:val="259E09A3"/>
    <w:rsid w:val="25B2718F"/>
    <w:rsid w:val="264663CA"/>
    <w:rsid w:val="26A53A3F"/>
    <w:rsid w:val="26A604C8"/>
    <w:rsid w:val="26C03072"/>
    <w:rsid w:val="26F414A1"/>
    <w:rsid w:val="27710810"/>
    <w:rsid w:val="27C13545"/>
    <w:rsid w:val="27EF7D47"/>
    <w:rsid w:val="281E5E20"/>
    <w:rsid w:val="28265D7D"/>
    <w:rsid w:val="28940C5A"/>
    <w:rsid w:val="28F434A6"/>
    <w:rsid w:val="292143DA"/>
    <w:rsid w:val="29273139"/>
    <w:rsid w:val="292E1C09"/>
    <w:rsid w:val="29824451"/>
    <w:rsid w:val="2A1A0CEB"/>
    <w:rsid w:val="2A3F2246"/>
    <w:rsid w:val="2A41271B"/>
    <w:rsid w:val="2AA001EB"/>
    <w:rsid w:val="2AC64227"/>
    <w:rsid w:val="2AD92954"/>
    <w:rsid w:val="2B400C25"/>
    <w:rsid w:val="2B9E76FA"/>
    <w:rsid w:val="2BC27337"/>
    <w:rsid w:val="2BF0264B"/>
    <w:rsid w:val="2C2E25DF"/>
    <w:rsid w:val="2C6536DE"/>
    <w:rsid w:val="2C973DC8"/>
    <w:rsid w:val="2D595FCE"/>
    <w:rsid w:val="2DA37249"/>
    <w:rsid w:val="2DB63420"/>
    <w:rsid w:val="2DD72188"/>
    <w:rsid w:val="2DEA197B"/>
    <w:rsid w:val="2DEC14AC"/>
    <w:rsid w:val="2DEE5A88"/>
    <w:rsid w:val="2DF14A0F"/>
    <w:rsid w:val="2E1A575D"/>
    <w:rsid w:val="2E6115DE"/>
    <w:rsid w:val="2E916A82"/>
    <w:rsid w:val="2EA119DB"/>
    <w:rsid w:val="2EB931C8"/>
    <w:rsid w:val="2EDA155B"/>
    <w:rsid w:val="2F1E74CF"/>
    <w:rsid w:val="2F8A246F"/>
    <w:rsid w:val="2FEF2C1A"/>
    <w:rsid w:val="3015266E"/>
    <w:rsid w:val="3056579C"/>
    <w:rsid w:val="30696528"/>
    <w:rsid w:val="30874C00"/>
    <w:rsid w:val="30A47560"/>
    <w:rsid w:val="30E74E29"/>
    <w:rsid w:val="30F73B34"/>
    <w:rsid w:val="31197F4E"/>
    <w:rsid w:val="313174F1"/>
    <w:rsid w:val="31336B36"/>
    <w:rsid w:val="313F54DB"/>
    <w:rsid w:val="31BE3FD4"/>
    <w:rsid w:val="322C513C"/>
    <w:rsid w:val="325D3E6B"/>
    <w:rsid w:val="32E4584C"/>
    <w:rsid w:val="32F6294C"/>
    <w:rsid w:val="331C2CE4"/>
    <w:rsid w:val="33437E6D"/>
    <w:rsid w:val="339A3C4E"/>
    <w:rsid w:val="33F80EC0"/>
    <w:rsid w:val="34254E5C"/>
    <w:rsid w:val="34321327"/>
    <w:rsid w:val="345D5731"/>
    <w:rsid w:val="34D32B0A"/>
    <w:rsid w:val="34D348B8"/>
    <w:rsid w:val="34DF6A94"/>
    <w:rsid w:val="351077A3"/>
    <w:rsid w:val="351A6043"/>
    <w:rsid w:val="355E6CA3"/>
    <w:rsid w:val="35BC705D"/>
    <w:rsid w:val="35BE2E72"/>
    <w:rsid w:val="365B4B65"/>
    <w:rsid w:val="36B763BE"/>
    <w:rsid w:val="37100FDD"/>
    <w:rsid w:val="37157917"/>
    <w:rsid w:val="372C3371"/>
    <w:rsid w:val="373B04F2"/>
    <w:rsid w:val="378128D5"/>
    <w:rsid w:val="3787198A"/>
    <w:rsid w:val="37D775F1"/>
    <w:rsid w:val="384B0C09"/>
    <w:rsid w:val="38642C82"/>
    <w:rsid w:val="38D8249D"/>
    <w:rsid w:val="38FE7A29"/>
    <w:rsid w:val="394144E6"/>
    <w:rsid w:val="39495149"/>
    <w:rsid w:val="3982065B"/>
    <w:rsid w:val="39F01A68"/>
    <w:rsid w:val="3A2A31CC"/>
    <w:rsid w:val="3A7B57D6"/>
    <w:rsid w:val="3AEC4834"/>
    <w:rsid w:val="3AF171F8"/>
    <w:rsid w:val="3AF86E26"/>
    <w:rsid w:val="3B1502A9"/>
    <w:rsid w:val="3B2533DB"/>
    <w:rsid w:val="3B581DD9"/>
    <w:rsid w:val="3B5F6BAE"/>
    <w:rsid w:val="3B9B69D3"/>
    <w:rsid w:val="3BC47203"/>
    <w:rsid w:val="3BC624D6"/>
    <w:rsid w:val="3C325AA6"/>
    <w:rsid w:val="3C326368"/>
    <w:rsid w:val="3C4E5AF6"/>
    <w:rsid w:val="3C752275"/>
    <w:rsid w:val="3D0E0B83"/>
    <w:rsid w:val="3D2263DC"/>
    <w:rsid w:val="3DCB25D0"/>
    <w:rsid w:val="3E774506"/>
    <w:rsid w:val="3E9C5B90"/>
    <w:rsid w:val="3EC862A6"/>
    <w:rsid w:val="3ECB4852"/>
    <w:rsid w:val="3EE85404"/>
    <w:rsid w:val="3EE85623"/>
    <w:rsid w:val="3EF20030"/>
    <w:rsid w:val="3F2F3033"/>
    <w:rsid w:val="3F4C14EF"/>
    <w:rsid w:val="3FA255B3"/>
    <w:rsid w:val="3FCE45FA"/>
    <w:rsid w:val="401B7113"/>
    <w:rsid w:val="401C5365"/>
    <w:rsid w:val="40273D0A"/>
    <w:rsid w:val="40572E9C"/>
    <w:rsid w:val="40C72E48"/>
    <w:rsid w:val="40EA12CE"/>
    <w:rsid w:val="412D5350"/>
    <w:rsid w:val="41384BB5"/>
    <w:rsid w:val="41456B3D"/>
    <w:rsid w:val="41686388"/>
    <w:rsid w:val="416F7716"/>
    <w:rsid w:val="4182569C"/>
    <w:rsid w:val="41E77BF5"/>
    <w:rsid w:val="41E832A7"/>
    <w:rsid w:val="42E934F8"/>
    <w:rsid w:val="43226388"/>
    <w:rsid w:val="435E5C94"/>
    <w:rsid w:val="43B26EFF"/>
    <w:rsid w:val="44AD0C81"/>
    <w:rsid w:val="44D515DB"/>
    <w:rsid w:val="44F665CC"/>
    <w:rsid w:val="45280308"/>
    <w:rsid w:val="459B6D2C"/>
    <w:rsid w:val="45D91D20"/>
    <w:rsid w:val="45EE1AFF"/>
    <w:rsid w:val="461D309B"/>
    <w:rsid w:val="46256F3D"/>
    <w:rsid w:val="46AF05B5"/>
    <w:rsid w:val="47074708"/>
    <w:rsid w:val="470B1C8F"/>
    <w:rsid w:val="471072A6"/>
    <w:rsid w:val="47525BF1"/>
    <w:rsid w:val="478F466E"/>
    <w:rsid w:val="47953C4F"/>
    <w:rsid w:val="47AA594C"/>
    <w:rsid w:val="48044449"/>
    <w:rsid w:val="4812704D"/>
    <w:rsid w:val="48684DC2"/>
    <w:rsid w:val="48FA020D"/>
    <w:rsid w:val="491F7C74"/>
    <w:rsid w:val="495520AF"/>
    <w:rsid w:val="49D00F6E"/>
    <w:rsid w:val="4A036642"/>
    <w:rsid w:val="4A0D3F70"/>
    <w:rsid w:val="4A58343D"/>
    <w:rsid w:val="4A69564B"/>
    <w:rsid w:val="4A7B712C"/>
    <w:rsid w:val="4AFC4FC0"/>
    <w:rsid w:val="4B1545D5"/>
    <w:rsid w:val="4B1F03CD"/>
    <w:rsid w:val="4B24726F"/>
    <w:rsid w:val="4B663938"/>
    <w:rsid w:val="4BC37C9E"/>
    <w:rsid w:val="4C040652"/>
    <w:rsid w:val="4CC72AFC"/>
    <w:rsid w:val="4DA90454"/>
    <w:rsid w:val="4E2C6F21"/>
    <w:rsid w:val="4E370464"/>
    <w:rsid w:val="4E5C1734"/>
    <w:rsid w:val="4EDB3AAB"/>
    <w:rsid w:val="4F827B5C"/>
    <w:rsid w:val="4FEA7B6A"/>
    <w:rsid w:val="505E1082"/>
    <w:rsid w:val="50A13664"/>
    <w:rsid w:val="50BF06B2"/>
    <w:rsid w:val="50F33EC0"/>
    <w:rsid w:val="51705511"/>
    <w:rsid w:val="51E40D0D"/>
    <w:rsid w:val="52DB10B0"/>
    <w:rsid w:val="52E71802"/>
    <w:rsid w:val="52ED67A3"/>
    <w:rsid w:val="53761B43"/>
    <w:rsid w:val="538C4158"/>
    <w:rsid w:val="538F59F6"/>
    <w:rsid w:val="548D63DA"/>
    <w:rsid w:val="54E65AEA"/>
    <w:rsid w:val="55833339"/>
    <w:rsid w:val="559A7000"/>
    <w:rsid w:val="55EA33B8"/>
    <w:rsid w:val="561D19DF"/>
    <w:rsid w:val="562468CA"/>
    <w:rsid w:val="562E599A"/>
    <w:rsid w:val="564927D4"/>
    <w:rsid w:val="56494582"/>
    <w:rsid w:val="566B274A"/>
    <w:rsid w:val="57087F99"/>
    <w:rsid w:val="570C5CDB"/>
    <w:rsid w:val="57452E34"/>
    <w:rsid w:val="57650F48"/>
    <w:rsid w:val="577970D7"/>
    <w:rsid w:val="58241E96"/>
    <w:rsid w:val="58346B6C"/>
    <w:rsid w:val="583B33B2"/>
    <w:rsid w:val="5843009A"/>
    <w:rsid w:val="587A5879"/>
    <w:rsid w:val="587B479B"/>
    <w:rsid w:val="587F428B"/>
    <w:rsid w:val="58AB32D2"/>
    <w:rsid w:val="58B53004"/>
    <w:rsid w:val="58CB2FF9"/>
    <w:rsid w:val="592E180D"/>
    <w:rsid w:val="5939225F"/>
    <w:rsid w:val="594159E5"/>
    <w:rsid w:val="599C4367"/>
    <w:rsid w:val="59A073CA"/>
    <w:rsid w:val="59D81D8C"/>
    <w:rsid w:val="59FE0F76"/>
    <w:rsid w:val="5A0D26FE"/>
    <w:rsid w:val="5A497DED"/>
    <w:rsid w:val="5A7F67C4"/>
    <w:rsid w:val="5A99383A"/>
    <w:rsid w:val="5B70631F"/>
    <w:rsid w:val="5B8816A9"/>
    <w:rsid w:val="5B9228F5"/>
    <w:rsid w:val="5BAC35E9"/>
    <w:rsid w:val="5BF9258D"/>
    <w:rsid w:val="5C0C22DA"/>
    <w:rsid w:val="5C3013D7"/>
    <w:rsid w:val="5C645C72"/>
    <w:rsid w:val="5CA501AF"/>
    <w:rsid w:val="5CE45005"/>
    <w:rsid w:val="5CEC7DED"/>
    <w:rsid w:val="5D0C5100"/>
    <w:rsid w:val="5D130B6F"/>
    <w:rsid w:val="5D5C1827"/>
    <w:rsid w:val="5EC72066"/>
    <w:rsid w:val="5EE17A4E"/>
    <w:rsid w:val="5F16521D"/>
    <w:rsid w:val="5F2636B2"/>
    <w:rsid w:val="5F900B7D"/>
    <w:rsid w:val="5F9920D6"/>
    <w:rsid w:val="5FF53085"/>
    <w:rsid w:val="5FF612D7"/>
    <w:rsid w:val="60002155"/>
    <w:rsid w:val="60A26D69"/>
    <w:rsid w:val="60AF2A95"/>
    <w:rsid w:val="612C0D28"/>
    <w:rsid w:val="6138147B"/>
    <w:rsid w:val="6186668A"/>
    <w:rsid w:val="61905993"/>
    <w:rsid w:val="6192502F"/>
    <w:rsid w:val="61A7575F"/>
    <w:rsid w:val="622163B3"/>
    <w:rsid w:val="6253483F"/>
    <w:rsid w:val="626A1B08"/>
    <w:rsid w:val="62917095"/>
    <w:rsid w:val="62AF5B27"/>
    <w:rsid w:val="62F913AF"/>
    <w:rsid w:val="634C770C"/>
    <w:rsid w:val="63B61430"/>
    <w:rsid w:val="63EC5EFC"/>
    <w:rsid w:val="64283A29"/>
    <w:rsid w:val="643B3F7A"/>
    <w:rsid w:val="644744B5"/>
    <w:rsid w:val="64580DBE"/>
    <w:rsid w:val="645B349D"/>
    <w:rsid w:val="64F76AF4"/>
    <w:rsid w:val="650A1380"/>
    <w:rsid w:val="652C579B"/>
    <w:rsid w:val="659155FE"/>
    <w:rsid w:val="65C47781"/>
    <w:rsid w:val="65FD2C93"/>
    <w:rsid w:val="665925BF"/>
    <w:rsid w:val="66613C7D"/>
    <w:rsid w:val="66682803"/>
    <w:rsid w:val="667E493A"/>
    <w:rsid w:val="673223B5"/>
    <w:rsid w:val="67601792"/>
    <w:rsid w:val="678C2521"/>
    <w:rsid w:val="67966A84"/>
    <w:rsid w:val="67B01D0D"/>
    <w:rsid w:val="683E06B7"/>
    <w:rsid w:val="68925915"/>
    <w:rsid w:val="68A37B22"/>
    <w:rsid w:val="68F95994"/>
    <w:rsid w:val="691F4490"/>
    <w:rsid w:val="694C7580"/>
    <w:rsid w:val="694E3F32"/>
    <w:rsid w:val="6958090C"/>
    <w:rsid w:val="69EB1780"/>
    <w:rsid w:val="6A0815F6"/>
    <w:rsid w:val="6A4B4566"/>
    <w:rsid w:val="6A6C40B1"/>
    <w:rsid w:val="6A6D0272"/>
    <w:rsid w:val="6A745C1A"/>
    <w:rsid w:val="6A971908"/>
    <w:rsid w:val="6AB37DC4"/>
    <w:rsid w:val="6B034C55"/>
    <w:rsid w:val="6B111F32"/>
    <w:rsid w:val="6B386049"/>
    <w:rsid w:val="6B4D1FC7"/>
    <w:rsid w:val="6B585A72"/>
    <w:rsid w:val="6B9145AA"/>
    <w:rsid w:val="6C636D52"/>
    <w:rsid w:val="6C782059"/>
    <w:rsid w:val="6CBB10B9"/>
    <w:rsid w:val="6CE64481"/>
    <w:rsid w:val="6CED3765"/>
    <w:rsid w:val="6D0A63C2"/>
    <w:rsid w:val="6D535020"/>
    <w:rsid w:val="6DB10C18"/>
    <w:rsid w:val="6DEC6A96"/>
    <w:rsid w:val="6E001573"/>
    <w:rsid w:val="6E31038A"/>
    <w:rsid w:val="6E8977BA"/>
    <w:rsid w:val="6E8B1C4F"/>
    <w:rsid w:val="6EDC5B3C"/>
    <w:rsid w:val="6EE67CF3"/>
    <w:rsid w:val="6F084B83"/>
    <w:rsid w:val="6FDA7F1D"/>
    <w:rsid w:val="6FF46EB5"/>
    <w:rsid w:val="70304695"/>
    <w:rsid w:val="708E2E66"/>
    <w:rsid w:val="70C96594"/>
    <w:rsid w:val="7113780F"/>
    <w:rsid w:val="713E621A"/>
    <w:rsid w:val="71400073"/>
    <w:rsid w:val="724B71D7"/>
    <w:rsid w:val="728B199E"/>
    <w:rsid w:val="72CF294A"/>
    <w:rsid w:val="72F621A5"/>
    <w:rsid w:val="72FC6860"/>
    <w:rsid w:val="73306456"/>
    <w:rsid w:val="735F0AE9"/>
    <w:rsid w:val="73C01188"/>
    <w:rsid w:val="73C92407"/>
    <w:rsid w:val="74147B26"/>
    <w:rsid w:val="74324450"/>
    <w:rsid w:val="74404C79"/>
    <w:rsid w:val="749560B0"/>
    <w:rsid w:val="74DB7325"/>
    <w:rsid w:val="74DD260E"/>
    <w:rsid w:val="74FD680C"/>
    <w:rsid w:val="756248C1"/>
    <w:rsid w:val="75742F72"/>
    <w:rsid w:val="7596775B"/>
    <w:rsid w:val="75A373B3"/>
    <w:rsid w:val="75D43A11"/>
    <w:rsid w:val="75DB74AB"/>
    <w:rsid w:val="75E8126A"/>
    <w:rsid w:val="76BD26F7"/>
    <w:rsid w:val="76EB7264"/>
    <w:rsid w:val="772B0A87"/>
    <w:rsid w:val="778E4093"/>
    <w:rsid w:val="784A2E64"/>
    <w:rsid w:val="78882890"/>
    <w:rsid w:val="78961451"/>
    <w:rsid w:val="796055BB"/>
    <w:rsid w:val="79D43F4C"/>
    <w:rsid w:val="79E0142C"/>
    <w:rsid w:val="7A445501"/>
    <w:rsid w:val="7B0E73BE"/>
    <w:rsid w:val="7B136D89"/>
    <w:rsid w:val="7B523F4B"/>
    <w:rsid w:val="7B767318"/>
    <w:rsid w:val="7B971768"/>
    <w:rsid w:val="7C646DEC"/>
    <w:rsid w:val="7C6D24C9"/>
    <w:rsid w:val="7CE64029"/>
    <w:rsid w:val="7CE85FF3"/>
    <w:rsid w:val="7CF14EA8"/>
    <w:rsid w:val="7D052701"/>
    <w:rsid w:val="7DA60233"/>
    <w:rsid w:val="7E5D031B"/>
    <w:rsid w:val="7E665422"/>
    <w:rsid w:val="7EA47930"/>
    <w:rsid w:val="7F0B7D77"/>
    <w:rsid w:val="7FCE4AB7"/>
    <w:rsid w:val="7FE23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1"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9"/>
    <w:qFormat/>
    <w:uiPriority w:val="99"/>
    <w:pPr>
      <w:keepNext/>
      <w:keepLines/>
      <w:spacing w:before="340" w:after="330" w:line="578" w:lineRule="auto"/>
      <w:outlineLvl w:val="0"/>
    </w:pPr>
    <w:rPr>
      <w:b/>
      <w:bCs/>
      <w:kern w:val="44"/>
      <w:sz w:val="44"/>
      <w:szCs w:val="44"/>
    </w:rPr>
  </w:style>
  <w:style w:type="paragraph" w:styleId="4">
    <w:name w:val="heading 2"/>
    <w:basedOn w:val="1"/>
    <w:next w:val="1"/>
    <w:qFormat/>
    <w:uiPriority w:val="1"/>
    <w:pPr>
      <w:ind w:left="220"/>
      <w:outlineLvl w:val="2"/>
    </w:pPr>
    <w:rPr>
      <w:rFonts w:ascii="Microsoft JhengHei" w:hAnsi="Microsoft JhengHei" w:eastAsia="Microsoft JhengHei"/>
      <w:sz w:val="32"/>
      <w:szCs w:val="32"/>
    </w:rPr>
  </w:style>
  <w:style w:type="paragraph" w:styleId="5">
    <w:name w:val="heading 4"/>
    <w:basedOn w:val="1"/>
    <w:next w:val="1"/>
    <w:qFormat/>
    <w:uiPriority w:val="1"/>
    <w:pPr>
      <w:ind w:left="120"/>
      <w:outlineLvl w:val="4"/>
    </w:pPr>
    <w:rPr>
      <w:rFonts w:ascii="宋体" w:hAnsi="宋体" w:eastAsia="宋体"/>
      <w:sz w:val="28"/>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ind w:left="540"/>
    </w:pPr>
    <w:rPr>
      <w:rFonts w:ascii="宋体" w:hAnsi="宋体" w:eastAsia="宋体"/>
      <w:sz w:val="21"/>
      <w:szCs w:val="21"/>
    </w:rPr>
  </w:style>
  <w:style w:type="paragraph" w:styleId="6">
    <w:name w:val="annotation text"/>
    <w:basedOn w:val="1"/>
    <w:qFormat/>
    <w:uiPriority w:val="0"/>
    <w:pPr>
      <w:jc w:val="left"/>
    </w:pPr>
  </w:style>
  <w:style w:type="paragraph" w:styleId="7">
    <w:name w:val="Body Text Indent"/>
    <w:basedOn w:val="1"/>
    <w:unhideWhenUsed/>
    <w:qFormat/>
    <w:uiPriority w:val="99"/>
    <w:pPr>
      <w:spacing w:after="120"/>
      <w:ind w:left="420" w:leftChars="200"/>
    </w:pPr>
  </w:style>
  <w:style w:type="paragraph" w:styleId="8">
    <w:name w:val="footer"/>
    <w:basedOn w:val="1"/>
    <w:link w:val="24"/>
    <w:qFormat/>
    <w:uiPriority w:val="0"/>
    <w:pPr>
      <w:tabs>
        <w:tab w:val="center" w:pos="4153"/>
        <w:tab w:val="right" w:pos="8306"/>
      </w:tabs>
      <w:snapToGrid w:val="0"/>
      <w:jc w:val="left"/>
    </w:pPr>
    <w:rPr>
      <w:sz w:val="18"/>
      <w:szCs w:val="18"/>
    </w:rPr>
  </w:style>
  <w:style w:type="paragraph" w:styleId="9">
    <w:name w:val="header"/>
    <w:basedOn w:val="1"/>
    <w:link w:val="23"/>
    <w:qFormat/>
    <w:uiPriority w:val="0"/>
    <w:pPr>
      <w:pBdr>
        <w:bottom w:val="single" w:color="auto" w:sz="6" w:space="1"/>
      </w:pBdr>
      <w:tabs>
        <w:tab w:val="center" w:pos="4153"/>
        <w:tab w:val="right" w:pos="8306"/>
      </w:tabs>
      <w:snapToGrid w:val="0"/>
      <w:jc w:val="center"/>
    </w:pPr>
    <w:rPr>
      <w:sz w:val="18"/>
      <w:szCs w:val="18"/>
    </w:rPr>
  </w:style>
  <w:style w:type="paragraph" w:styleId="10">
    <w:name w:val="index 9"/>
    <w:basedOn w:val="1"/>
    <w:next w:val="1"/>
    <w:qFormat/>
    <w:uiPriority w:val="0"/>
    <w:pPr>
      <w:ind w:left="3360"/>
      <w:jc w:val="left"/>
    </w:pPr>
    <w:rPr>
      <w:rFonts w:ascii="Calibri" w:hAnsi="Calibri"/>
      <w:szCs w:val="22"/>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2">
    <w:name w:val="Body Text First Indent"/>
    <w:basedOn w:val="2"/>
    <w:unhideWhenUsed/>
    <w:qFormat/>
    <w:uiPriority w:val="99"/>
    <w:pPr>
      <w:spacing w:before="50" w:beforeLines="50" w:afterLines="50" w:line="360" w:lineRule="auto"/>
      <w:ind w:firstLine="420" w:firstLineChars="100"/>
    </w:pPr>
    <w:rPr>
      <w:rFonts w:ascii="Calibri" w:hAnsi="Calibri" w:cs="宋体"/>
      <w:sz w:val="24"/>
    </w:rPr>
  </w:style>
  <w:style w:type="paragraph" w:styleId="13">
    <w:name w:val="Body Text First Indent 2"/>
    <w:basedOn w:val="7"/>
    <w:unhideWhenUsed/>
    <w:qFormat/>
    <w:uiPriority w:val="99"/>
    <w:pPr>
      <w:ind w:firstLine="420" w:firstLineChars="200"/>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0"/>
    <w:rPr>
      <w:b/>
    </w:rPr>
  </w:style>
  <w:style w:type="paragraph" w:customStyle="1" w:styleId="18">
    <w:name w:val="Default"/>
    <w:qFormat/>
    <w:uiPriority w:val="0"/>
    <w:pPr>
      <w:widowControl w:val="0"/>
      <w:autoSpaceDE w:val="0"/>
      <w:autoSpaceDN w:val="0"/>
      <w:adjustRightInd w:val="0"/>
    </w:pPr>
    <w:rPr>
      <w:rFonts w:ascii="仿宋" w:hAnsi="Times New Roman" w:eastAsia="仿宋" w:cs="仿宋"/>
      <w:color w:val="000000"/>
      <w:sz w:val="24"/>
      <w:szCs w:val="24"/>
      <w:lang w:val="en-US" w:eastAsia="zh-CN" w:bidi="ar-SA"/>
    </w:rPr>
  </w:style>
  <w:style w:type="paragraph" w:customStyle="1" w:styleId="19">
    <w:name w:val="5-内文 Char"/>
    <w:basedOn w:val="1"/>
    <w:qFormat/>
    <w:uiPriority w:val="0"/>
    <w:pPr>
      <w:spacing w:beforeLines="25" w:afterLines="25" w:line="300" w:lineRule="auto"/>
      <w:ind w:firstLine="200" w:firstLineChars="200"/>
    </w:pPr>
    <w:rPr>
      <w:rFonts w:ascii="Calibri" w:hAnsi="Calibri" w:eastAsia="仿宋_GB2312" w:cs="Times New Roman"/>
      <w:sz w:val="28"/>
      <w:szCs w:val="28"/>
    </w:rPr>
  </w:style>
  <w:style w:type="character" w:customStyle="1" w:styleId="20">
    <w:name w:val="font41"/>
    <w:basedOn w:val="16"/>
    <w:qFormat/>
    <w:uiPriority w:val="0"/>
    <w:rPr>
      <w:rFonts w:hint="eastAsia" w:ascii="宋体" w:hAnsi="宋体" w:eastAsia="宋体" w:cs="宋体"/>
      <w:b/>
      <w:color w:val="000000"/>
      <w:sz w:val="32"/>
      <w:szCs w:val="32"/>
      <w:u w:val="none"/>
    </w:rPr>
  </w:style>
  <w:style w:type="character" w:customStyle="1" w:styleId="21">
    <w:name w:val="font31"/>
    <w:basedOn w:val="16"/>
    <w:qFormat/>
    <w:uiPriority w:val="0"/>
    <w:rPr>
      <w:rFonts w:ascii="Calibri" w:hAnsi="Calibri" w:cs="Calibri"/>
      <w:b/>
      <w:color w:val="000000"/>
      <w:sz w:val="32"/>
      <w:szCs w:val="32"/>
      <w:u w:val="none"/>
    </w:rPr>
  </w:style>
  <w:style w:type="paragraph" w:styleId="22">
    <w:name w:val="No Spacing"/>
    <w:qFormat/>
    <w:uiPriority w:val="0"/>
    <w:pPr>
      <w:adjustRightInd w:val="0"/>
      <w:snapToGrid w:val="0"/>
    </w:pPr>
    <w:rPr>
      <w:rFonts w:ascii="Tahoma" w:hAnsi="Tahoma" w:eastAsia="宋体" w:cs="Times New Roman"/>
      <w:sz w:val="22"/>
      <w:szCs w:val="22"/>
      <w:lang w:val="en-US" w:eastAsia="zh-CN" w:bidi="ar-SA"/>
    </w:rPr>
  </w:style>
  <w:style w:type="character" w:customStyle="1" w:styleId="23">
    <w:name w:val="页眉 Char"/>
    <w:basedOn w:val="16"/>
    <w:link w:val="9"/>
    <w:qFormat/>
    <w:uiPriority w:val="0"/>
    <w:rPr>
      <w:rFonts w:asciiTheme="minorHAnsi" w:hAnsiTheme="minorHAnsi" w:eastAsiaTheme="minorEastAsia" w:cstheme="minorBidi"/>
      <w:kern w:val="2"/>
      <w:sz w:val="18"/>
      <w:szCs w:val="18"/>
    </w:rPr>
  </w:style>
  <w:style w:type="character" w:customStyle="1" w:styleId="24">
    <w:name w:val="页脚 Char"/>
    <w:basedOn w:val="16"/>
    <w:link w:val="8"/>
    <w:qFormat/>
    <w:uiPriority w:val="0"/>
    <w:rPr>
      <w:rFonts w:asciiTheme="minorHAnsi" w:hAnsiTheme="minorHAnsi" w:eastAsiaTheme="minorEastAsia" w:cstheme="minorBidi"/>
      <w:kern w:val="2"/>
      <w:sz w:val="18"/>
      <w:szCs w:val="18"/>
    </w:rPr>
  </w:style>
  <w:style w:type="paragraph" w:customStyle="1" w:styleId="25">
    <w:name w:val="Table Paragraph"/>
    <w:basedOn w:val="1"/>
    <w:qFormat/>
    <w:uiPriority w:val="1"/>
  </w:style>
  <w:style w:type="table" w:customStyle="1" w:styleId="26">
    <w:name w:val="Table Normal"/>
    <w:semiHidden/>
    <w:unhideWhenUsed/>
    <w:qFormat/>
    <w:uiPriority w:val="0"/>
    <w:tblPr>
      <w:tblCellMar>
        <w:top w:w="0" w:type="dxa"/>
        <w:left w:w="0" w:type="dxa"/>
        <w:bottom w:w="0" w:type="dxa"/>
        <w:right w:w="0" w:type="dxa"/>
      </w:tblCellMar>
    </w:tblPr>
  </w:style>
  <w:style w:type="paragraph" w:customStyle="1" w:styleId="27">
    <w:name w:val="Table Text"/>
    <w:basedOn w:val="1"/>
    <w:semiHidden/>
    <w:qFormat/>
    <w:uiPriority w:val="0"/>
    <w:rPr>
      <w:rFonts w:ascii="Arial" w:hAnsi="Arial" w:eastAsia="Arial" w:cs="Arial"/>
      <w:sz w:val="21"/>
      <w:szCs w:val="21"/>
      <w:lang w:val="en-US" w:eastAsia="en-US" w:bidi="ar-SA"/>
    </w:rPr>
  </w:style>
  <w:style w:type="paragraph" w:customStyle="1" w:styleId="28">
    <w:name w:val="文本2"/>
    <w:basedOn w:val="1"/>
    <w:next w:val="1"/>
    <w:qFormat/>
    <w:uiPriority w:val="0"/>
    <w:pPr>
      <w:widowControl/>
      <w:ind w:left="100" w:leftChars="100" w:right="100" w:rightChars="100" w:firstLine="200" w:firstLineChars="200"/>
      <w:textAlignment w:val="baseline"/>
    </w:pPr>
    <w:rPr>
      <w:rFonts w:ascii="Times New Roman" w:hAnsi="Times New Roman" w:eastAsia="仿宋_GB2312"/>
      <w:color w:val="000000"/>
      <w:kern w:val="0"/>
      <w:sz w:val="24"/>
      <w:szCs w:val="20"/>
      <w:u w:color="000000"/>
    </w:rPr>
  </w:style>
  <w:style w:type="character" w:customStyle="1" w:styleId="29">
    <w:name w:val="标题 1 字符"/>
    <w:link w:val="3"/>
    <w:qFormat/>
    <w:uiPriority w:val="0"/>
    <w:rPr>
      <w:b/>
      <w:bCs/>
      <w:kern w:val="44"/>
      <w:sz w:val="44"/>
      <w:szCs w:val="44"/>
    </w:rPr>
  </w:style>
  <w:style w:type="character" w:customStyle="1" w:styleId="30">
    <w:name w:val="font61"/>
    <w:basedOn w:val="16"/>
    <w:qFormat/>
    <w:uiPriority w:val="0"/>
    <w:rPr>
      <w:rFonts w:hint="default" w:ascii="Times New Roman" w:hAnsi="Times New Roman" w:cs="Times New Roman"/>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sco\AppData\Roaming\Kingsoft\wps\addons\pool\win-i386\knewfileres_1.0.0.1\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686AC67-48A3-4FD9-A857-A6F1D1A603EF}">
  <ds:schemaRefs/>
</ds:datastoreItem>
</file>

<file path=docProps/app.xml><?xml version="1.0" encoding="utf-8"?>
<Properties xmlns="http://schemas.openxmlformats.org/officeDocument/2006/extended-properties" xmlns:vt="http://schemas.openxmlformats.org/officeDocument/2006/docPropsVTypes">
  <Template>0.docx</Template>
  <Pages>24</Pages>
  <Words>12984</Words>
  <Characters>13878</Characters>
  <Lines>4</Lines>
  <Paragraphs>6</Paragraphs>
  <TotalTime>183</TotalTime>
  <ScaleCrop>false</ScaleCrop>
  <LinksUpToDate>false</LinksUpToDate>
  <CharactersWithSpaces>13962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2018-04-02T03:18:00Z</dcterms:created>
  <dc:creator>李帅</dc:creator>
  <cp:lastModifiedBy>王晓龙</cp:lastModifiedBy>
  <cp:lastPrinted>2024-04-29T06:26:00Z</cp:lastPrinted>
  <dcterms:modified xsi:type="dcterms:W3CDTF">2024-09-25T03:15:39Z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C92A834DF0E1465586C9F038B60011FC_13</vt:lpwstr>
  </property>
</Properties>
</file>