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580" w:type="dxa"/>
        <w:tblInd w:w="93" w:type="dxa"/>
        <w:tblLayout w:type="fixed"/>
        <w:tblCellMar>
          <w:top w:w="0" w:type="dxa"/>
          <w:left w:w="108" w:type="dxa"/>
          <w:bottom w:w="0" w:type="dxa"/>
          <w:right w:w="108" w:type="dxa"/>
        </w:tblCellMar>
      </w:tblPr>
      <w:tblGrid>
        <w:gridCol w:w="9580"/>
      </w:tblGrid>
      <w:tr w14:paraId="1406396F">
        <w:tblPrEx>
          <w:tblCellMar>
            <w:top w:w="0" w:type="dxa"/>
            <w:left w:w="108" w:type="dxa"/>
            <w:bottom w:w="0" w:type="dxa"/>
            <w:right w:w="108" w:type="dxa"/>
          </w:tblCellMar>
        </w:tblPrEx>
        <w:trPr>
          <w:trHeight w:val="7166" w:hRule="atLeast"/>
        </w:trPr>
        <w:tc>
          <w:tcPr>
            <w:tcW w:w="9580" w:type="dxa"/>
            <w:tcBorders>
              <w:top w:val="nil"/>
              <w:left w:val="nil"/>
              <w:bottom w:val="nil"/>
              <w:right w:val="nil"/>
            </w:tcBorders>
            <w:shd w:val="clear" w:color="auto" w:fill="auto"/>
            <w:noWrap/>
            <w:vAlign w:val="center"/>
          </w:tcPr>
          <w:p w14:paraId="4CE29A65">
            <w:pPr>
              <w:keepNext w:val="0"/>
              <w:keepLines w:val="0"/>
              <w:pageBreakBefore w:val="0"/>
              <w:kinsoku/>
              <w:wordWrap/>
              <w:overflowPunct/>
              <w:topLinePunct w:val="0"/>
              <w:autoSpaceDE/>
              <w:autoSpaceDN/>
              <w:bidi w:val="0"/>
              <w:ind w:firstLine="562" w:firstLineChars="200"/>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项目需求</w:t>
            </w: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     </w:t>
            </w:r>
            <w:r>
              <w:rPr>
                <w:rFonts w:hint="eastAsia" w:ascii="仿宋" w:hAnsi="仿宋" w:eastAsia="仿宋" w:cs="仿宋"/>
                <w:b/>
                <w:bCs/>
                <w:color w:val="000000" w:themeColor="text1"/>
                <w:kern w:val="0"/>
                <w:sz w:val="30"/>
                <w:szCs w:val="30"/>
                <w:lang w:val="en-US" w:eastAsia="zh-CN" w:bidi="ar-SA"/>
                <w14:textFill>
                  <w14:solidFill>
                    <w14:schemeClr w14:val="tx1"/>
                  </w14:solidFill>
                </w14:textFill>
              </w:rPr>
              <w:t>烟感报警器安装项目采购清单</w:t>
            </w:r>
          </w:p>
          <w:p w14:paraId="6867AC3C">
            <w:pPr>
              <w:keepNext w:val="0"/>
              <w:keepLines w:val="0"/>
              <w:pageBreakBefore w:val="0"/>
              <w:kinsoku/>
              <w:wordWrap/>
              <w:overflowPunct/>
              <w:topLinePunct w:val="0"/>
              <w:autoSpaceDE/>
              <w:autoSpaceDN/>
              <w:bidi w:val="0"/>
              <w:ind w:firstLine="600" w:firstLineChars="200"/>
              <w:rPr>
                <w:rFonts w:hint="eastAsia" w:ascii="仿宋" w:hAnsi="仿宋" w:eastAsia="仿宋" w:cs="仿宋"/>
                <w:color w:val="000000" w:themeColor="text1"/>
                <w:kern w:val="0"/>
                <w:sz w:val="30"/>
                <w:szCs w:val="30"/>
                <w:lang w:val="en-US" w:eastAsia="zh-CN" w:bidi="ar-SA"/>
                <w14:textFill>
                  <w14:solidFill>
                    <w14:schemeClr w14:val="tx1"/>
                  </w14:solidFill>
                </w14:textFill>
              </w:rPr>
            </w:pPr>
          </w:p>
          <w:tbl>
            <w:tblPr>
              <w:tblStyle w:val="9"/>
              <w:tblpPr w:leftFromText="180" w:rightFromText="180" w:vertAnchor="page" w:horzAnchor="page" w:tblpX="295" w:tblpY="884"/>
              <w:tblOverlap w:val="never"/>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584"/>
              <w:gridCol w:w="2148"/>
              <w:gridCol w:w="1225"/>
              <w:gridCol w:w="874"/>
              <w:gridCol w:w="1244"/>
            </w:tblGrid>
            <w:tr w14:paraId="1D4B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2062" w:type="dxa"/>
                </w:tcPr>
                <w:p w14:paraId="030C1DD6">
                  <w:pPr>
                    <w:keepNext w:val="0"/>
                    <w:keepLines w:val="0"/>
                    <w:pageBreakBefore w:val="0"/>
                    <w:kinsoku/>
                    <w:wordWrap/>
                    <w:overflowPunct/>
                    <w:topLinePunct w:val="0"/>
                    <w:autoSpaceDE/>
                    <w:autoSpaceDN/>
                    <w:bidi w:val="0"/>
                    <w:ind w:firstLine="600" w:firstLineChars="200"/>
                    <w:jc w:val="center"/>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物品名称</w:t>
                  </w:r>
                </w:p>
              </w:tc>
              <w:tc>
                <w:tcPr>
                  <w:tcW w:w="1584" w:type="dxa"/>
                </w:tcPr>
                <w:p w14:paraId="5FC5F021">
                  <w:pPr>
                    <w:keepNext w:val="0"/>
                    <w:keepLines w:val="0"/>
                    <w:pageBreakBefore w:val="0"/>
                    <w:kinsoku/>
                    <w:wordWrap/>
                    <w:overflowPunct/>
                    <w:topLinePunct w:val="0"/>
                    <w:autoSpaceDE/>
                    <w:autoSpaceDN/>
                    <w:bidi w:val="0"/>
                    <w:jc w:val="both"/>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推荐品牌</w:t>
                  </w:r>
                </w:p>
              </w:tc>
              <w:tc>
                <w:tcPr>
                  <w:tcW w:w="2148" w:type="dxa"/>
                </w:tcPr>
                <w:p w14:paraId="6AA5CB9D">
                  <w:pPr>
                    <w:keepNext w:val="0"/>
                    <w:keepLines w:val="0"/>
                    <w:pageBreakBefore w:val="0"/>
                    <w:kinsoku/>
                    <w:wordWrap/>
                    <w:overflowPunct/>
                    <w:topLinePunct w:val="0"/>
                    <w:autoSpaceDE/>
                    <w:autoSpaceDN/>
                    <w:bidi w:val="0"/>
                    <w:ind w:firstLine="600" w:firstLineChars="200"/>
                    <w:jc w:val="both"/>
                    <w:rPr>
                      <w:rFonts w:hint="eastAsia"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数 量</w:t>
                  </w:r>
                </w:p>
              </w:tc>
              <w:tc>
                <w:tcPr>
                  <w:tcW w:w="1225" w:type="dxa"/>
                </w:tcPr>
                <w:p w14:paraId="2C4D595D">
                  <w:pPr>
                    <w:keepNext w:val="0"/>
                    <w:keepLines w:val="0"/>
                    <w:pageBreakBefore w:val="0"/>
                    <w:kinsoku/>
                    <w:wordWrap/>
                    <w:overflowPunct/>
                    <w:topLinePunct w:val="0"/>
                    <w:autoSpaceDE/>
                    <w:autoSpaceDN/>
                    <w:bidi w:val="0"/>
                    <w:jc w:val="both"/>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单价</w:t>
                  </w:r>
                </w:p>
              </w:tc>
              <w:tc>
                <w:tcPr>
                  <w:tcW w:w="874" w:type="dxa"/>
                </w:tcPr>
                <w:p w14:paraId="3C4BF59F">
                  <w:pPr>
                    <w:keepNext w:val="0"/>
                    <w:keepLines w:val="0"/>
                    <w:pageBreakBefore w:val="0"/>
                    <w:kinsoku/>
                    <w:wordWrap/>
                    <w:overflowPunct/>
                    <w:topLinePunct w:val="0"/>
                    <w:autoSpaceDE/>
                    <w:autoSpaceDN/>
                    <w:bidi w:val="0"/>
                    <w:jc w:val="both"/>
                    <w:rPr>
                      <w:rFonts w:hint="eastAsia"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总价</w:t>
                  </w:r>
                </w:p>
              </w:tc>
              <w:tc>
                <w:tcPr>
                  <w:tcW w:w="1244" w:type="dxa"/>
                </w:tcPr>
                <w:p w14:paraId="55187EE9">
                  <w:pPr>
                    <w:keepNext w:val="0"/>
                    <w:keepLines w:val="0"/>
                    <w:pageBreakBefore w:val="0"/>
                    <w:kinsoku/>
                    <w:wordWrap/>
                    <w:overflowPunct/>
                    <w:topLinePunct w:val="0"/>
                    <w:autoSpaceDE/>
                    <w:autoSpaceDN/>
                    <w:bidi w:val="0"/>
                    <w:jc w:val="both"/>
                    <w:rPr>
                      <w:rFonts w:hint="eastAsia"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备 注</w:t>
                  </w:r>
                </w:p>
              </w:tc>
            </w:tr>
            <w:tr w14:paraId="3D7B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062" w:type="dxa"/>
                </w:tcPr>
                <w:p w14:paraId="1B142377">
                  <w:pPr>
                    <w:keepNext w:val="0"/>
                    <w:keepLines w:val="0"/>
                    <w:pageBreakBefore w:val="0"/>
                    <w:tabs>
                      <w:tab w:val="left" w:pos="617"/>
                    </w:tabs>
                    <w:kinsoku/>
                    <w:wordWrap/>
                    <w:overflowPunct/>
                    <w:topLinePunct w:val="0"/>
                    <w:autoSpaceDE/>
                    <w:autoSpaceDN/>
                    <w:bidi w:val="0"/>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烟感报警器</w:t>
                  </w:r>
                </w:p>
              </w:tc>
              <w:tc>
                <w:tcPr>
                  <w:tcW w:w="1584" w:type="dxa"/>
                </w:tcPr>
                <w:p w14:paraId="20F0D694">
                  <w:pPr>
                    <w:keepNext w:val="0"/>
                    <w:keepLines w:val="0"/>
                    <w:pageBreakBefore w:val="0"/>
                    <w:kinsoku/>
                    <w:wordWrap/>
                    <w:overflowPunct/>
                    <w:topLinePunct w:val="0"/>
                    <w:autoSpaceDE/>
                    <w:autoSpaceDN/>
                    <w:bidi w:val="0"/>
                    <w:jc w:val="both"/>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杭州拓深、宇旷、卓羽</w:t>
                  </w:r>
                </w:p>
              </w:tc>
              <w:tc>
                <w:tcPr>
                  <w:tcW w:w="2148" w:type="dxa"/>
                </w:tcPr>
                <w:p w14:paraId="44FA0586">
                  <w:pPr>
                    <w:keepNext w:val="0"/>
                    <w:keepLines w:val="0"/>
                    <w:pageBreakBefore w:val="0"/>
                    <w:kinsoku/>
                    <w:wordWrap/>
                    <w:overflowPunct/>
                    <w:topLinePunct w:val="0"/>
                    <w:autoSpaceDE/>
                    <w:autoSpaceDN/>
                    <w:bidi w:val="0"/>
                    <w:ind w:firstLine="600" w:firstLineChars="200"/>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140</w:t>
                  </w:r>
                </w:p>
              </w:tc>
              <w:tc>
                <w:tcPr>
                  <w:tcW w:w="1225" w:type="dxa"/>
                </w:tcPr>
                <w:p w14:paraId="19FFAF08">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874" w:type="dxa"/>
                </w:tcPr>
                <w:p w14:paraId="08C8B8D5">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244" w:type="dxa"/>
                </w:tcPr>
                <w:p w14:paraId="6019A92D">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r>
            <w:tr w14:paraId="33D0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062" w:type="dxa"/>
                </w:tcPr>
                <w:p w14:paraId="0298632E">
                  <w:pPr>
                    <w:keepNext w:val="0"/>
                    <w:keepLines w:val="0"/>
                    <w:pageBreakBefore w:val="0"/>
                    <w:kinsoku/>
                    <w:wordWrap/>
                    <w:overflowPunct/>
                    <w:topLinePunct w:val="0"/>
                    <w:autoSpaceDE/>
                    <w:autoSpaceDN/>
                    <w:bidi w:val="0"/>
                    <w:ind w:firstLine="600" w:firstLineChars="200"/>
                    <w:jc w:val="center"/>
                    <w:rPr>
                      <w:rFonts w:hint="default" w:ascii="仿宋" w:hAnsi="仿宋" w:eastAsia="仿宋" w:cs="仿宋"/>
                      <w:color w:val="000000" w:themeColor="text1"/>
                      <w:kern w:val="0"/>
                      <w:sz w:val="30"/>
                      <w:szCs w:val="30"/>
                      <w:lang w:val="en-US" w:eastAsia="zh-CN" w:bidi="ar-SA"/>
                      <w14:textFill>
                        <w14:solidFill>
                          <w14:schemeClr w14:val="tx1"/>
                        </w14:solidFill>
                      </w14:textFill>
                    </w:rPr>
                  </w:pPr>
                </w:p>
              </w:tc>
              <w:tc>
                <w:tcPr>
                  <w:tcW w:w="1584" w:type="dxa"/>
                </w:tcPr>
                <w:p w14:paraId="64F81335">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2148" w:type="dxa"/>
                </w:tcPr>
                <w:p w14:paraId="703DB725">
                  <w:pPr>
                    <w:keepNext w:val="0"/>
                    <w:keepLines w:val="0"/>
                    <w:pageBreakBefore w:val="0"/>
                    <w:kinsoku/>
                    <w:wordWrap/>
                    <w:overflowPunct/>
                    <w:topLinePunct w:val="0"/>
                    <w:autoSpaceDE/>
                    <w:autoSpaceDN/>
                    <w:bidi w:val="0"/>
                    <w:ind w:firstLine="600" w:firstLineChars="200"/>
                    <w:jc w:val="center"/>
                    <w:rPr>
                      <w:rFonts w:hint="default" w:ascii="仿宋" w:hAnsi="仿宋" w:eastAsia="仿宋" w:cs="仿宋"/>
                      <w:color w:val="000000" w:themeColor="text1"/>
                      <w:kern w:val="0"/>
                      <w:sz w:val="30"/>
                      <w:szCs w:val="30"/>
                      <w:lang w:val="en-US" w:eastAsia="zh-CN" w:bidi="ar-SA"/>
                      <w14:textFill>
                        <w14:solidFill>
                          <w14:schemeClr w14:val="tx1"/>
                        </w14:solidFill>
                      </w14:textFill>
                    </w:rPr>
                  </w:pPr>
                </w:p>
              </w:tc>
              <w:tc>
                <w:tcPr>
                  <w:tcW w:w="1225" w:type="dxa"/>
                </w:tcPr>
                <w:p w14:paraId="1E885827">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874" w:type="dxa"/>
                </w:tcPr>
                <w:p w14:paraId="4931A4BD">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244" w:type="dxa"/>
                </w:tcPr>
                <w:p w14:paraId="00DDB801">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r>
            <w:tr w14:paraId="0AD2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062" w:type="dxa"/>
                </w:tcPr>
                <w:p w14:paraId="3D0707BC">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584" w:type="dxa"/>
                </w:tcPr>
                <w:p w14:paraId="49A9BF88">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2148" w:type="dxa"/>
                </w:tcPr>
                <w:p w14:paraId="04F9DB16">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225" w:type="dxa"/>
                </w:tcPr>
                <w:p w14:paraId="2070B952">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874" w:type="dxa"/>
                </w:tcPr>
                <w:p w14:paraId="2382D66C">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244" w:type="dxa"/>
                </w:tcPr>
                <w:p w14:paraId="5E10D3B8">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r>
            <w:tr w14:paraId="7500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19" w:type="dxa"/>
                  <w:gridSpan w:val="4"/>
                </w:tcPr>
                <w:p w14:paraId="12EABE26">
                  <w:pPr>
                    <w:keepNext w:val="0"/>
                    <w:keepLines w:val="0"/>
                    <w:pageBreakBefore w:val="0"/>
                    <w:widowControl/>
                    <w:kinsoku/>
                    <w:wordWrap/>
                    <w:overflowPunct/>
                    <w:topLinePunct w:val="0"/>
                    <w:autoSpaceDE/>
                    <w:autoSpaceDN/>
                    <w:bidi w:val="0"/>
                    <w:ind w:firstLine="600" w:firstLineChars="200"/>
                    <w:jc w:val="left"/>
                    <w:rPr>
                      <w:rFonts w:hint="eastAsia"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合计：</w:t>
                  </w:r>
                </w:p>
              </w:tc>
              <w:tc>
                <w:tcPr>
                  <w:tcW w:w="874" w:type="dxa"/>
                </w:tcPr>
                <w:p w14:paraId="0D053C07">
                  <w:pPr>
                    <w:keepNext w:val="0"/>
                    <w:keepLines w:val="0"/>
                    <w:pageBreakBefore w:val="0"/>
                    <w:widowControl/>
                    <w:kinsoku/>
                    <w:wordWrap/>
                    <w:overflowPunct/>
                    <w:topLinePunct w:val="0"/>
                    <w:autoSpaceDE/>
                    <w:autoSpaceDN/>
                    <w:bidi w:val="0"/>
                    <w:ind w:firstLine="600" w:firstLineChars="200"/>
                    <w:jc w:val="left"/>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244" w:type="dxa"/>
                </w:tcPr>
                <w:p w14:paraId="2E08797B">
                  <w:pPr>
                    <w:keepNext w:val="0"/>
                    <w:keepLines w:val="0"/>
                    <w:pageBreakBefore w:val="0"/>
                    <w:widowControl/>
                    <w:kinsoku/>
                    <w:wordWrap/>
                    <w:overflowPunct/>
                    <w:topLinePunct w:val="0"/>
                    <w:autoSpaceDE/>
                    <w:autoSpaceDN/>
                    <w:bidi w:val="0"/>
                    <w:ind w:firstLine="600" w:firstLineChars="200"/>
                    <w:jc w:val="left"/>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r>
          </w:tbl>
          <w:p w14:paraId="5FFAE7E5">
            <w:pPr>
              <w:keepNext w:val="0"/>
              <w:keepLines w:val="0"/>
              <w:pageBreakBefore w:val="0"/>
              <w:kinsoku/>
              <w:wordWrap/>
              <w:overflowPunct/>
              <w:topLinePunct w:val="0"/>
              <w:autoSpaceDE/>
              <w:autoSpaceDN/>
              <w:bidi w:val="0"/>
              <w:ind w:left="840" w:right="-34" w:rightChars="-16" w:firstLine="560" w:firstLineChars="200"/>
              <w:rPr>
                <w:rFonts w:hint="eastAsia" w:ascii="仿宋" w:hAnsi="仿宋" w:eastAsia="仿宋" w:cs="仿宋"/>
                <w:color w:val="000000" w:themeColor="text1"/>
                <w:kern w:val="0"/>
                <w:sz w:val="28"/>
                <w:szCs w:val="28"/>
                <w:lang w:val="en-US" w:eastAsia="zh-CN" w:bidi="ar-SA"/>
                <w14:textFill>
                  <w14:solidFill>
                    <w14:schemeClr w14:val="tx1"/>
                  </w14:solidFill>
                </w14:textFill>
              </w:rPr>
            </w:pPr>
          </w:p>
        </w:tc>
      </w:tr>
    </w:tbl>
    <w:p w14:paraId="53794F59">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 xml:space="preserve">  备注：</w:t>
      </w: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无线感烟火灾探测器：</w:t>
      </w:r>
    </w:p>
    <w:p w14:paraId="557DDB3A">
      <w:pPr>
        <w:keepNext w:val="0"/>
        <w:keepLines w:val="0"/>
        <w:pageBreakBefore w:val="0"/>
        <w:kinsoku/>
        <w:wordWrap/>
        <w:overflowPunct/>
        <w:topLinePunct w:val="0"/>
        <w:autoSpaceDE/>
        <w:autoSpaceDN/>
        <w:bidi w:val="0"/>
        <w:ind w:firstLine="602" w:firstLineChars="200"/>
        <w:rPr>
          <w:rFonts w:hint="eastAsia" w:ascii="仿宋" w:hAnsi="仿宋" w:eastAsia="仿宋" w:cs="仿宋"/>
          <w:b/>
          <w:bCs/>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bCs/>
          <w:i w:val="0"/>
          <w:color w:val="000000" w:themeColor="text1"/>
          <w:kern w:val="0"/>
          <w:sz w:val="30"/>
          <w:szCs w:val="30"/>
          <w:lang w:val="en-US" w:eastAsia="zh-CN" w:bidi="ar-SA"/>
          <w14:textFill>
            <w14:solidFill>
              <w14:schemeClr w14:val="tx1"/>
            </w14:solidFill>
          </w14:textFill>
        </w:rPr>
        <w:t>一、技术要求：</w:t>
      </w:r>
    </w:p>
    <w:p w14:paraId="644519BA">
      <w:pPr>
        <w:keepNext w:val="0"/>
        <w:keepLines w:val="0"/>
        <w:pageBreakBefore w:val="0"/>
        <w:kinsoku/>
        <w:wordWrap/>
        <w:overflowPunct/>
        <w:topLinePunct w:val="0"/>
        <w:autoSpaceDE/>
        <w:autoSpaceDN/>
        <w:bidi w:val="0"/>
        <w:ind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1.通讯方式 NB-loT（支持移动、联通、电信NB-loT）；</w:t>
      </w:r>
    </w:p>
    <w:p w14:paraId="7D5527B8">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2.设备能够监测探测周围环境温度，当温度超过设定的报警阀值时报警，并将报警信息上传管理平台；</w:t>
      </w:r>
    </w:p>
    <w:p w14:paraId="306E79E5">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3.设备能够监测探测周围烟雾浓度，当烟雾浓度超过设定的报警阀值时报警，并将报警信息上传管理平台，当烟雾的浓度低于报警浓度时，报警器恢复为正常工作状态；</w:t>
      </w:r>
    </w:p>
    <w:p w14:paraId="70B3BC79">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4.设备能够监测探测周围水汽浓度，当水汽浓度超过报警阈值时设备低声低频率提醒，并将水汽干扰信息上传管理平台，当水汽浓度低于阈值时，报警器恢复正常工作状态，若水汽浓度超过阈值较长时间，报警器仍会按烟雾报警声级、频率报警；</w:t>
      </w:r>
    </w:p>
    <w:p w14:paraId="782E3CED">
      <w:pPr>
        <w:keepNext w:val="0"/>
        <w:keepLines w:val="0"/>
        <w:pageBreakBefore w:val="0"/>
        <w:kinsoku/>
        <w:wordWrap/>
        <w:overflowPunct/>
        <w:topLinePunct w:val="0"/>
        <w:autoSpaceDE/>
        <w:autoSpaceDN/>
        <w:bidi w:val="0"/>
        <w:ind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5.设备能够监测探测周围粉尘浓度，当粉尘浓度超过报警阈值时设备不触 发报警，并将粉尘干扰信息上传管理平台，当粉尘浓度低于阈值时，报警器 恢复正常工作状态，若粉尘浓度超过阈值较长时间，报警器仍会按烟雾报警声 级、频率报警；</w:t>
      </w:r>
    </w:p>
    <w:p w14:paraId="48D8D30F">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6.为方便管理，在烟雾报警、温度报警或同时报警下，设备应自动提升分成三级报警，同时将信息上报到监控中心智慧消防平台；</w:t>
      </w:r>
    </w:p>
    <w:p w14:paraId="5538022F">
      <w:pPr>
        <w:keepNext w:val="0"/>
        <w:keepLines w:val="0"/>
        <w:pageBreakBefore w:val="0"/>
        <w:kinsoku/>
        <w:wordWrap/>
        <w:overflowPunct/>
        <w:topLinePunct w:val="0"/>
        <w:autoSpaceDE/>
        <w:autoSpaceDN/>
        <w:bidi w:val="0"/>
        <w:ind w:left="300" w:firstLine="600" w:firstLineChars="200"/>
        <w:rPr>
          <w:rFonts w:hint="default" w:ascii="仿宋" w:hAnsi="仿宋" w:eastAsia="仿宋" w:cs="仿宋"/>
          <w:b w:val="0"/>
          <w:bCs w:val="0"/>
          <w:i w:val="0"/>
          <w:color w:val="0000FF"/>
          <w:kern w:val="0"/>
          <w:sz w:val="30"/>
          <w:szCs w:val="30"/>
          <w:lang w:val="en-US" w:eastAsia="zh-CN" w:bidi="ar-SA"/>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7.设备具有防拆报警功能(投标文件中提供第三方有权机构出具的带有CMA或CNAS标识的检测报告扫描件），</w:t>
      </w:r>
      <w:r>
        <w:rPr>
          <w:rFonts w:hint="eastAsia" w:ascii="仿宋" w:hAnsi="仿宋" w:eastAsia="仿宋" w:cs="仿宋"/>
          <w:b w:val="0"/>
          <w:bCs w:val="0"/>
          <w:i w:val="0"/>
          <w:color w:val="0000FF"/>
          <w:kern w:val="0"/>
          <w:sz w:val="30"/>
          <w:szCs w:val="30"/>
          <w:lang w:val="en-US" w:eastAsia="zh-CN" w:bidi="ar-SA"/>
        </w:rPr>
        <w:t>可将报警信号与校内现有智慧消防综合管理平台接入;</w:t>
      </w:r>
    </w:p>
    <w:p w14:paraId="2735CE7E">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auto"/>
          <w:kern w:val="0"/>
          <w:sz w:val="30"/>
          <w:szCs w:val="30"/>
          <w:lang w:val="en-US" w:eastAsia="zh-CN" w:bidi="ar-SA"/>
        </w:rPr>
      </w:pPr>
      <w:r>
        <w:rPr>
          <w:rFonts w:hint="eastAsia" w:ascii="仿宋" w:hAnsi="仿宋" w:eastAsia="仿宋" w:cs="仿宋"/>
          <w:b w:val="0"/>
          <w:bCs w:val="0"/>
          <w:i w:val="0"/>
          <w:color w:val="auto"/>
          <w:kern w:val="0"/>
          <w:sz w:val="30"/>
          <w:szCs w:val="30"/>
          <w:lang w:val="en-US" w:eastAsia="zh-CN" w:bidi="ar-SA"/>
        </w:rPr>
        <w:t>8.为保证产品续航，电池容量需≥2400mAH(投标文件中提供第三方有权机构出具的带有CMA或CNAS标识的检测报告扫描件）；</w:t>
      </w:r>
    </w:p>
    <w:p w14:paraId="5B97B112">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auto"/>
          <w:kern w:val="0"/>
          <w:sz w:val="30"/>
          <w:szCs w:val="30"/>
          <w:lang w:val="en-US" w:eastAsia="zh-CN" w:bidi="ar-SA"/>
        </w:rPr>
      </w:pPr>
      <w:r>
        <w:rPr>
          <w:rFonts w:hint="eastAsia" w:ascii="仿宋" w:hAnsi="仿宋" w:eastAsia="仿宋" w:cs="仿宋"/>
          <w:b w:val="0"/>
          <w:bCs w:val="0"/>
          <w:i w:val="0"/>
          <w:color w:val="auto"/>
          <w:kern w:val="0"/>
          <w:sz w:val="30"/>
          <w:szCs w:val="30"/>
          <w:lang w:val="en-US" w:eastAsia="zh-CN" w:bidi="ar-SA"/>
        </w:rPr>
        <w:t>9.具备远程消音的功能，在设备持续报警时，通过远程命令（Web端及APP端）可进行设备的现场消音(投标文件中提供第三方有权机构出具的带有CMA或CNAS标识的检测报告扫描件）；</w:t>
      </w:r>
    </w:p>
    <w:p w14:paraId="60F0D2C5">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auto"/>
          <w:kern w:val="0"/>
          <w:sz w:val="30"/>
          <w:szCs w:val="30"/>
          <w:lang w:val="en-US" w:eastAsia="zh-CN" w:bidi="ar-SA"/>
        </w:rPr>
      </w:pPr>
      <w:r>
        <w:rPr>
          <w:rFonts w:hint="eastAsia" w:ascii="仿宋" w:hAnsi="仿宋" w:eastAsia="仿宋" w:cs="仿宋"/>
          <w:b w:val="0"/>
          <w:bCs w:val="0"/>
          <w:i w:val="0"/>
          <w:color w:val="auto"/>
          <w:kern w:val="0"/>
          <w:sz w:val="30"/>
          <w:szCs w:val="30"/>
          <w:lang w:val="en-US" w:eastAsia="zh-CN" w:bidi="ar-SA"/>
        </w:rPr>
        <w:t>10.为满足恶劣环境使用要求，设备在(-20±2) ℃~(50±2) ℃环境下可正常工作(投标文件中提供第三方有权机构出具的带有CMA或CNAS标识的检测报告扫描件）；</w:t>
      </w:r>
    </w:p>
    <w:p w14:paraId="6A6501C6">
      <w:pPr>
        <w:rPr>
          <w:rFonts w:hint="default"/>
          <w:lang w:val="en-US" w:eastAsia="zh-CN"/>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11.</w:t>
      </w:r>
      <w:r>
        <w:rPr>
          <w:rFonts w:hint="eastAsia" w:ascii="仿宋" w:hAnsi="仿宋" w:eastAsia="仿宋" w:cs="仿宋"/>
          <w:b/>
          <w:bCs/>
          <w:i w:val="0"/>
          <w:color w:val="000000" w:themeColor="text1"/>
          <w:kern w:val="0"/>
          <w:sz w:val="30"/>
          <w:szCs w:val="30"/>
          <w:lang w:val="en-US" w:eastAsia="zh-CN" w:bidi="ar-SA"/>
          <w14:textFill>
            <w14:solidFill>
              <w14:schemeClr w14:val="tx1"/>
            </w14:solidFill>
          </w14:textFill>
        </w:rPr>
        <w:t>投标人所提供产品，必须无缝接入安徽电子信息职业技术学院监控中心现有智慧消防综合管理平台及三年网络服务费，若产生其他费用，均由投标人自行承担。中标方在施工前，需要完成接入测试，否则由此带来的一切后果，均由投标人自行承担。质保到期后，中标单位需对烟感设备进行一次性的整体检测。对如设备灵敏度下降、误报频繁或外观明显损坏等情况，报经甲方同意按成本价及时更换新的同档次产品的烟感或配件。对于电池等易耗配件，报经甲方同意根据使用寿命以不高于市场价进行更换，并需确保长期使用过程中保持性能稳定。</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F40C">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390" w:lineRule="atLeast"/>
      <w:ind w:left="0" w:right="0" w:firstLine="0"/>
      <w:jc w:val="both"/>
      <w:rPr>
        <w:rFonts w:ascii="微软雅黑" w:hAnsi="微软雅黑" w:eastAsia="微软雅黑" w:cs="微软雅黑"/>
        <w:b/>
        <w:bCs/>
        <w:i w:val="0"/>
        <w:iCs w:val="0"/>
        <w:caps w:val="0"/>
        <w:color w:val="8F000B"/>
        <w:spacing w:val="0"/>
        <w:sz w:val="33"/>
        <w:szCs w:val="33"/>
      </w:rPr>
    </w:pPr>
  </w:p>
  <w:p w14:paraId="675F0F88">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mQyNzU1YWY5M2I2NDNhZmQ2ZGFlOTAwNjczYmUifQ=="/>
  </w:docVars>
  <w:rsids>
    <w:rsidRoot w:val="0098586C"/>
    <w:rsid w:val="00437597"/>
    <w:rsid w:val="006E4729"/>
    <w:rsid w:val="007E64FC"/>
    <w:rsid w:val="00804666"/>
    <w:rsid w:val="0098586C"/>
    <w:rsid w:val="012F0438"/>
    <w:rsid w:val="01477581"/>
    <w:rsid w:val="0378337B"/>
    <w:rsid w:val="09A0136D"/>
    <w:rsid w:val="132179FB"/>
    <w:rsid w:val="1D9349F0"/>
    <w:rsid w:val="227439E1"/>
    <w:rsid w:val="24DD207D"/>
    <w:rsid w:val="280E1EE1"/>
    <w:rsid w:val="2AED63FF"/>
    <w:rsid w:val="2EFC0F71"/>
    <w:rsid w:val="2FD17AAB"/>
    <w:rsid w:val="3A7530B5"/>
    <w:rsid w:val="3E3F2FBE"/>
    <w:rsid w:val="43A95C8F"/>
    <w:rsid w:val="46E110B6"/>
    <w:rsid w:val="49D62A28"/>
    <w:rsid w:val="61AA2CEE"/>
    <w:rsid w:val="65D30B92"/>
    <w:rsid w:val="6A7C2557"/>
    <w:rsid w:val="7BA61FA4"/>
    <w:rsid w:val="7C41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1"/>
    <w:pPr>
      <w:spacing w:before="150"/>
      <w:ind w:left="768"/>
      <w:jc w:val="both"/>
      <w:outlineLvl w:val="1"/>
    </w:pPr>
    <w:rPr>
      <w:b/>
      <w:bCs/>
      <w:i/>
      <w:sz w:val="25"/>
      <w:szCs w:val="25"/>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正"/>
    <w:basedOn w:val="1"/>
    <w:qFormat/>
    <w:uiPriority w:val="0"/>
    <w:pPr>
      <w:tabs>
        <w:tab w:val="left" w:pos="-120"/>
      </w:tabs>
      <w:adjustRightInd w:val="0"/>
      <w:spacing w:line="560" w:lineRule="exact"/>
      <w:ind w:firstLine="600"/>
      <w:textAlignment w:val="baseline"/>
    </w:pPr>
    <w:rPr>
      <w:rFonts w:ascii="仿宋_GB2312" w:hAnsi="Times New Roman" w:eastAsia="仿宋_GB2312" w:cs="Times New Roman"/>
      <w:color w:val="000000"/>
      <w:spacing w:val="20"/>
      <w:sz w:val="28"/>
      <w:szCs w:val="28"/>
    </w:rPr>
  </w:style>
  <w:style w:type="character" w:customStyle="1" w:styleId="13">
    <w:name w:val="批注框文本 Char"/>
    <w:basedOn w:val="10"/>
    <w:link w:val="4"/>
    <w:semiHidden/>
    <w:qFormat/>
    <w:uiPriority w:val="99"/>
    <w:rPr>
      <w:sz w:val="18"/>
      <w:szCs w:val="18"/>
    </w:rPr>
  </w:style>
  <w:style w:type="character" w:customStyle="1" w:styleId="14">
    <w:name w:val="font01"/>
    <w:basedOn w:val="10"/>
    <w:qFormat/>
    <w:uiPriority w:val="0"/>
    <w:rPr>
      <w:rFonts w:hint="eastAsia" w:ascii="宋体" w:hAnsi="宋体" w:eastAsia="宋体" w:cs="宋体"/>
      <w:color w:val="000000"/>
      <w:sz w:val="24"/>
      <w:szCs w:val="24"/>
      <w:u w:val="none"/>
    </w:rPr>
  </w:style>
  <w:style w:type="paragraph" w:customStyle="1" w:styleId="15">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858</Words>
  <Characters>922</Characters>
  <Lines>1</Lines>
  <Paragraphs>1</Paragraphs>
  <TotalTime>0</TotalTime>
  <ScaleCrop>false</ScaleCrop>
  <LinksUpToDate>false</LinksUpToDate>
  <CharactersWithSpaces>937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2022-11-02T07:54:00Z</dcterms:created>
  <dc:creator>lenovo</dc:creator>
  <cp:lastModifiedBy>杰少</cp:lastModifiedBy>
  <cp:lastPrinted>2022-11-25T01:16:00Z</cp:lastPrinted>
  <dcterms:modified xsi:type="dcterms:W3CDTF">2025-04-29T09:41:39Z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730AEBC61E3A40CC9CD45560E7BE96A4_13</vt:lpwstr>
  </property>
  <property fmtid="{D5CDD505-2E9C-101B-9397-08002B2CF9AE}" pid="4" name="KSOTemplateDocerSaveRecord">
    <vt:lpwstr>eyJoZGlkIjoiNTJiMjdkMDI3YzViZGE0ZWRlYmQxZWNjYTM2MzFiMTMiLCJ1c2VySWQiOiIxNDk5NzY1NzM3In0=</vt:lpwstr>
  </property>
</Properties>
</file>