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ind w:right="4"/>
      </w:pPr>
      <w:r>
        <w:rPr>
          <w:spacing w:val="-8"/>
        </w:rPr>
        <w:t>2026</w:t>
      </w:r>
      <w:r>
        <w:rPr>
          <w:spacing w:val="-9"/>
        </w:rPr>
        <w:t> 年安徽省高校物联网应用创新大赛</w:t>
      </w:r>
    </w:p>
    <w:p>
      <w:pPr>
        <w:pStyle w:val="Title"/>
        <w:spacing w:line="643" w:lineRule="exact"/>
      </w:pPr>
      <w:r>
        <w:rPr>
          <w:spacing w:val="-3"/>
        </w:rPr>
        <w:t>赛项规程</w:t>
      </w:r>
    </w:p>
    <w:p>
      <w:pPr>
        <w:pStyle w:val="Heading1"/>
        <w:spacing w:before="265"/>
      </w:pPr>
      <w:r>
        <w:rPr>
          <w:spacing w:val="-2"/>
        </w:rPr>
        <w:t>一、赛项名称</w:t>
      </w:r>
    </w:p>
    <w:p>
      <w:pPr>
        <w:spacing w:line="508" w:lineRule="exact" w:before="134"/>
        <w:ind w:left="942" w:right="0" w:firstLine="0"/>
        <w:jc w:val="left"/>
        <w:rPr>
          <w:sz w:val="28"/>
        </w:rPr>
      </w:pPr>
      <w:r>
        <w:rPr>
          <w:b/>
          <w:spacing w:val="-2"/>
          <w:sz w:val="28"/>
        </w:rPr>
        <w:t>赛项名称：</w:t>
      </w:r>
      <w:r>
        <w:rPr>
          <w:spacing w:val="-3"/>
          <w:sz w:val="28"/>
        </w:rPr>
        <w:t>安徽省高校物联网应用创新大赛</w:t>
      </w:r>
    </w:p>
    <w:p>
      <w:pPr>
        <w:pStyle w:val="BodyText"/>
        <w:spacing w:line="290" w:lineRule="auto"/>
        <w:ind w:left="2279" w:right="1050" w:hanging="1356"/>
        <w:jc w:val="both"/>
        <w:rPr>
          <w:rFonts w:ascii="MingLiU_HKSCS-ExtB" w:eastAsia="MingLiU_HKSCS-ExtB"/>
        </w:rPr>
      </w:pPr>
      <w:r>
        <w:rPr>
          <w:b/>
        </w:rPr>
        <w:t>英语名称：</w:t>
      </w:r>
      <w:r>
        <w:rPr>
          <w:rFonts w:ascii="MingLiU_HKSCS-ExtB" w:eastAsia="MingLiU_HKSCS-ExtB"/>
        </w:rPr>
        <w:t>Anhui Province Colleges and Universities Internet</w:t>
      </w:r>
      <w:r>
        <w:rPr>
          <w:rFonts w:ascii="MingLiU_HKSCS-ExtB" w:eastAsia="MingLiU_HKSCS-ExtB"/>
          <w:spacing w:val="-9"/>
        </w:rPr>
        <w:t> </w:t>
      </w:r>
      <w:r>
        <w:rPr>
          <w:rFonts w:ascii="MingLiU_HKSCS-ExtB" w:eastAsia="MingLiU_HKSCS-ExtB"/>
        </w:rPr>
        <w:t>of</w:t>
      </w:r>
      <w:r>
        <w:rPr>
          <w:rFonts w:ascii="MingLiU_HKSCS-ExtB" w:eastAsia="MingLiU_HKSCS-ExtB"/>
          <w:spacing w:val="-9"/>
        </w:rPr>
        <w:t> </w:t>
      </w:r>
      <w:r>
        <w:rPr>
          <w:rFonts w:ascii="MingLiU_HKSCS-ExtB" w:eastAsia="MingLiU_HKSCS-ExtB"/>
        </w:rPr>
        <w:t>Things</w:t>
      </w:r>
      <w:r>
        <w:rPr>
          <w:rFonts w:ascii="MingLiU_HKSCS-ExtB" w:eastAsia="MingLiU_HKSCS-ExtB"/>
          <w:spacing w:val="-9"/>
        </w:rPr>
        <w:t> </w:t>
      </w:r>
      <w:r>
        <w:rPr>
          <w:rFonts w:ascii="MingLiU_HKSCS-ExtB" w:eastAsia="MingLiU_HKSCS-ExtB"/>
        </w:rPr>
        <w:t>Application</w:t>
      </w:r>
      <w:r>
        <w:rPr>
          <w:rFonts w:ascii="MingLiU_HKSCS-ExtB" w:eastAsia="MingLiU_HKSCS-ExtB"/>
          <w:spacing w:val="-9"/>
        </w:rPr>
        <w:t> </w:t>
      </w:r>
      <w:r>
        <w:rPr>
          <w:rFonts w:ascii="MingLiU_HKSCS-ExtB" w:eastAsia="MingLiU_HKSCS-ExtB"/>
        </w:rPr>
        <w:t>Innovation </w:t>
      </w:r>
      <w:r>
        <w:rPr>
          <w:rFonts w:ascii="MingLiU_HKSCS-ExtB" w:eastAsia="MingLiU_HKSCS-ExtB"/>
          <w:spacing w:val="-2"/>
        </w:rPr>
        <w:t>Competition</w:t>
      </w:r>
    </w:p>
    <w:p>
      <w:pPr>
        <w:spacing w:line="444" w:lineRule="exact" w:before="0"/>
        <w:ind w:left="942" w:right="0" w:firstLine="0"/>
        <w:jc w:val="left"/>
        <w:rPr>
          <w:sz w:val="28"/>
        </w:rPr>
      </w:pPr>
      <w:r>
        <w:rPr>
          <w:b/>
          <w:spacing w:val="-2"/>
          <w:sz w:val="28"/>
        </w:rPr>
        <w:t>赛项组别：</w:t>
      </w:r>
      <w:r>
        <w:rPr>
          <w:spacing w:val="-4"/>
          <w:sz w:val="28"/>
        </w:rPr>
        <w:t>本科组、高职组</w:t>
      </w:r>
    </w:p>
    <w:p>
      <w:pPr>
        <w:pStyle w:val="Heading1"/>
        <w:spacing w:before="210"/>
      </w:pPr>
      <w:r>
        <w:rPr>
          <w:spacing w:val="-2"/>
        </w:rPr>
        <w:t>二、竞赛组织机构</w:t>
      </w:r>
    </w:p>
    <w:p>
      <w:pPr>
        <w:spacing w:line="232" w:lineRule="auto" w:before="144"/>
        <w:ind w:left="944" w:right="2244" w:firstLine="0"/>
        <w:jc w:val="left"/>
        <w:rPr>
          <w:sz w:val="28"/>
        </w:rPr>
      </w:pPr>
      <w:r>
        <w:rPr>
          <w:b/>
          <w:spacing w:val="-2"/>
          <w:sz w:val="28"/>
        </w:rPr>
        <w:t>主办单位：</w:t>
      </w:r>
      <w:r>
        <w:rPr>
          <w:spacing w:val="-2"/>
          <w:sz w:val="28"/>
        </w:rPr>
        <w:t>安徽省电子学会、安徽省计算机学会</w:t>
      </w:r>
      <w:r>
        <w:rPr>
          <w:b/>
          <w:spacing w:val="-2"/>
          <w:sz w:val="28"/>
        </w:rPr>
        <w:t>承办单位：</w:t>
      </w:r>
      <w:r>
        <w:rPr>
          <w:spacing w:val="-2"/>
          <w:sz w:val="28"/>
        </w:rPr>
        <w:t>安庆师范大学</w:t>
      </w:r>
    </w:p>
    <w:p>
      <w:pPr>
        <w:pStyle w:val="Heading2"/>
        <w:spacing w:line="232" w:lineRule="auto" w:before="105"/>
        <w:ind w:left="944" w:right="6444" w:hanging="562"/>
      </w:pPr>
      <w:r>
        <w:rPr>
          <w:spacing w:val="-2"/>
        </w:rPr>
        <w:t>（一）组织委员会</w:t>
      </w:r>
      <w:r>
        <w:rPr>
          <w:spacing w:val="-4"/>
        </w:rPr>
        <w:t>主任委员：</w:t>
      </w:r>
    </w:p>
    <w:p>
      <w:pPr>
        <w:pStyle w:val="BodyText"/>
        <w:tabs>
          <w:tab w:pos="2622" w:val="left" w:leader="none"/>
        </w:tabs>
        <w:spacing w:line="496" w:lineRule="exact"/>
        <w:ind w:left="1223"/>
      </w:pPr>
      <w:r>
        <w:rPr>
          <w:spacing w:val="-2"/>
        </w:rPr>
        <w:t>吴先</w:t>
      </w:r>
      <w:r>
        <w:rPr>
          <w:spacing w:val="-10"/>
        </w:rPr>
        <w:t>良</w:t>
      </w:r>
      <w:r>
        <w:rPr/>
        <w:tab/>
      </w:r>
      <w:r>
        <w:rPr>
          <w:spacing w:val="-2"/>
        </w:rPr>
        <w:t>安徽省电子学会理事</w:t>
      </w:r>
      <w:r>
        <w:rPr>
          <w:spacing w:val="-10"/>
        </w:rPr>
        <w:t>长</w:t>
      </w:r>
    </w:p>
    <w:p>
      <w:pPr>
        <w:pStyle w:val="Heading2"/>
        <w:spacing w:line="500" w:lineRule="exact"/>
        <w:ind w:left="944"/>
      </w:pPr>
      <w:r>
        <w:rPr>
          <w:spacing w:val="-4"/>
        </w:rPr>
        <w:t>副主任委员：</w:t>
      </w:r>
    </w:p>
    <w:p>
      <w:pPr>
        <w:pStyle w:val="BodyText"/>
        <w:tabs>
          <w:tab w:pos="1782" w:val="left" w:leader="none"/>
          <w:tab w:pos="2622" w:val="left" w:leader="none"/>
        </w:tabs>
        <w:spacing w:line="232" w:lineRule="auto" w:before="4"/>
        <w:ind w:left="1223" w:right="2525"/>
      </w:pPr>
      <w:r>
        <w:rPr>
          <w:spacing w:val="-10"/>
        </w:rPr>
        <w:t>吴</w:t>
      </w:r>
      <w:r>
        <w:rPr/>
        <w:tab/>
      </w:r>
      <w:r>
        <w:rPr>
          <w:spacing w:val="-10"/>
        </w:rPr>
        <w:t>琼</w:t>
      </w:r>
      <w:r>
        <w:rPr/>
        <w:tab/>
      </w:r>
      <w:r>
        <w:rPr>
          <w:spacing w:val="-2"/>
        </w:rPr>
        <w:t>安庆师范大学党委常委、副校长</w:t>
      </w:r>
      <w:r>
        <w:rPr>
          <w:spacing w:val="-4"/>
        </w:rPr>
        <w:t>陈恩红</w:t>
      </w:r>
      <w:r>
        <w:rPr/>
        <w:tab/>
      </w:r>
      <w:r>
        <w:rPr>
          <w:spacing w:val="-2"/>
        </w:rPr>
        <w:t>安徽省计算机学会理事长</w:t>
      </w:r>
    </w:p>
    <w:p>
      <w:pPr>
        <w:pStyle w:val="Heading2"/>
        <w:spacing w:line="495" w:lineRule="exact"/>
        <w:ind w:left="944"/>
      </w:pPr>
      <w:r>
        <w:rPr>
          <w:spacing w:val="-5"/>
        </w:rPr>
        <w:t>委员：</w:t>
      </w:r>
    </w:p>
    <w:p>
      <w:pPr>
        <w:pStyle w:val="BodyText"/>
        <w:tabs>
          <w:tab w:pos="2622" w:val="left" w:leader="none"/>
        </w:tabs>
        <w:spacing w:line="232" w:lineRule="auto" w:before="4"/>
        <w:ind w:left="1223" w:right="3646"/>
      </w:pPr>
      <w:r>
        <w:rPr>
          <w:spacing w:val="-4"/>
        </w:rPr>
        <w:t>潘锦云</w:t>
      </w:r>
      <w:r>
        <w:rPr/>
        <w:tab/>
      </w:r>
      <w:r>
        <w:rPr>
          <w:spacing w:val="-2"/>
        </w:rPr>
        <w:t>安庆师范大学教处处</w:t>
      </w:r>
      <w:r>
        <w:rPr>
          <w:spacing w:val="-2"/>
        </w:rPr>
        <w:t>长顾涓</w:t>
      </w:r>
      <w:r>
        <w:rPr>
          <w:spacing w:val="-10"/>
        </w:rPr>
        <w:t>涓</w:t>
      </w:r>
      <w:r>
        <w:rPr/>
        <w:tab/>
      </w:r>
      <w:r>
        <w:rPr>
          <w:spacing w:val="-2"/>
        </w:rPr>
        <w:t>安徽省电子学会秘书</w:t>
      </w:r>
      <w:r>
        <w:rPr>
          <w:spacing w:val="-10"/>
        </w:rPr>
        <w:t>长</w:t>
      </w:r>
    </w:p>
    <w:p>
      <w:pPr>
        <w:pStyle w:val="Heading2"/>
        <w:spacing w:line="235" w:lineRule="auto" w:before="212"/>
        <w:ind w:left="944" w:right="6444" w:hanging="562"/>
      </w:pPr>
      <w:r>
        <w:rPr>
          <w:spacing w:val="-2"/>
        </w:rPr>
        <w:t>（二）专家委员会</w:t>
      </w:r>
      <w:r>
        <w:rPr>
          <w:spacing w:val="-4"/>
        </w:rPr>
        <w:t>主任委员：</w:t>
      </w:r>
    </w:p>
    <w:p>
      <w:pPr>
        <w:pStyle w:val="BodyText"/>
        <w:tabs>
          <w:tab w:pos="2622" w:val="left" w:leader="none"/>
        </w:tabs>
        <w:spacing w:line="497" w:lineRule="exact"/>
        <w:ind w:left="1223"/>
      </w:pPr>
      <w:r>
        <w:rPr>
          <w:spacing w:val="-2"/>
        </w:rPr>
        <w:t>顾乃</w:t>
      </w:r>
      <w:r>
        <w:rPr>
          <w:spacing w:val="-10"/>
        </w:rPr>
        <w:t>杰</w:t>
      </w:r>
      <w:r>
        <w:rPr/>
        <w:tab/>
      </w:r>
      <w:r>
        <w:rPr>
          <w:spacing w:val="-2"/>
        </w:rPr>
        <w:t>中国科学技术大学教</w:t>
      </w:r>
      <w:r>
        <w:rPr>
          <w:spacing w:val="-10"/>
        </w:rPr>
        <w:t>授</w:t>
      </w:r>
    </w:p>
    <w:p>
      <w:pPr>
        <w:pStyle w:val="Heading2"/>
        <w:spacing w:line="499" w:lineRule="exact"/>
        <w:ind w:left="944"/>
      </w:pPr>
      <w:r>
        <w:rPr>
          <w:spacing w:val="-4"/>
        </w:rPr>
        <w:t>副主任委员：</w:t>
      </w:r>
    </w:p>
    <w:p>
      <w:pPr>
        <w:pStyle w:val="BodyText"/>
        <w:tabs>
          <w:tab w:pos="2622" w:val="left" w:leader="none"/>
        </w:tabs>
        <w:spacing w:line="508" w:lineRule="exact"/>
        <w:ind w:left="1223"/>
      </w:pPr>
      <w:r>
        <w:rPr>
          <w:spacing w:val="-2"/>
        </w:rPr>
        <w:t>方潜</w:t>
      </w:r>
      <w:r>
        <w:rPr>
          <w:spacing w:val="-10"/>
        </w:rPr>
        <w:t>生</w:t>
      </w:r>
      <w:r>
        <w:rPr/>
        <w:tab/>
      </w:r>
      <w:r>
        <w:rPr>
          <w:spacing w:val="-2"/>
        </w:rPr>
        <w:t>安徽建筑大学教</w:t>
      </w:r>
      <w:r>
        <w:rPr>
          <w:spacing w:val="-10"/>
        </w:rPr>
        <w:t>授</w:t>
      </w:r>
    </w:p>
    <w:p>
      <w:pPr>
        <w:pStyle w:val="BodyText"/>
        <w:spacing w:after="0" w:line="508" w:lineRule="exact"/>
        <w:sectPr>
          <w:footerReference w:type="default" r:id="rId5"/>
          <w:type w:val="continuous"/>
          <w:pgSz w:w="11910" w:h="16840"/>
          <w:pgMar w:header="0" w:footer="971" w:top="1480" w:bottom="1160" w:left="1417" w:right="1417"/>
          <w:pgNumType w:start="1"/>
        </w:sectPr>
      </w:pPr>
    </w:p>
    <w:p>
      <w:pPr>
        <w:pStyle w:val="BodyText"/>
        <w:tabs>
          <w:tab w:pos="2622" w:val="left" w:leader="none"/>
        </w:tabs>
        <w:spacing w:line="508" w:lineRule="exact" w:before="13"/>
        <w:ind w:left="1223"/>
      </w:pPr>
      <w:r>
        <w:rPr>
          <w:spacing w:val="-2"/>
        </w:rPr>
        <w:t>蒋建</w:t>
      </w:r>
      <w:r>
        <w:rPr>
          <w:spacing w:val="-10"/>
        </w:rPr>
        <w:t>国</w:t>
      </w:r>
      <w:r>
        <w:rPr/>
        <w:tab/>
      </w:r>
      <w:r>
        <w:rPr>
          <w:spacing w:val="-2"/>
        </w:rPr>
        <w:t>合肥工业大学教</w:t>
      </w:r>
      <w:r>
        <w:rPr>
          <w:spacing w:val="-10"/>
        </w:rPr>
        <w:t>授</w:t>
      </w:r>
    </w:p>
    <w:p>
      <w:pPr>
        <w:pStyle w:val="BodyText"/>
        <w:tabs>
          <w:tab w:pos="1782" w:val="left" w:leader="none"/>
          <w:tab w:pos="2622" w:val="left" w:leader="none"/>
        </w:tabs>
        <w:spacing w:line="499" w:lineRule="exact"/>
        <w:ind w:left="1223"/>
      </w:pPr>
      <w:r>
        <w:rPr>
          <w:spacing w:val="-10"/>
        </w:rPr>
        <w:t>徐</w:t>
      </w:r>
      <w:r>
        <w:rPr/>
        <w:tab/>
      </w:r>
      <w:r>
        <w:rPr>
          <w:spacing w:val="-10"/>
        </w:rPr>
        <w:t>云</w:t>
      </w:r>
      <w:r>
        <w:rPr/>
        <w:tab/>
      </w:r>
      <w:r>
        <w:rPr>
          <w:spacing w:val="-2"/>
        </w:rPr>
        <w:t>中国科学技术大学教</w:t>
      </w:r>
      <w:r>
        <w:rPr>
          <w:spacing w:val="-10"/>
        </w:rPr>
        <w:t>授</w:t>
      </w:r>
    </w:p>
    <w:p>
      <w:pPr>
        <w:pStyle w:val="Heading2"/>
        <w:spacing w:line="500" w:lineRule="exact"/>
        <w:ind w:left="944"/>
      </w:pPr>
      <w:r>
        <w:rPr>
          <w:spacing w:val="-5"/>
        </w:rPr>
        <w:t>委员：</w:t>
      </w:r>
    </w:p>
    <w:p>
      <w:pPr>
        <w:pStyle w:val="BodyText"/>
        <w:spacing w:line="232" w:lineRule="auto" w:before="4"/>
        <w:ind w:left="1223" w:right="4767"/>
        <w:jc w:val="both"/>
      </w:pPr>
      <w:r>
        <w:rPr/>
        <w:t>罗</w:t>
      </w:r>
      <w:r>
        <w:rPr>
          <w:spacing w:val="80"/>
          <w:w w:val="150"/>
        </w:rPr>
        <w:t> </w:t>
      </w:r>
      <w:r>
        <w:rPr/>
        <w:t>斌</w:t>
      </w:r>
      <w:r>
        <w:rPr>
          <w:spacing w:val="80"/>
          <w:w w:val="150"/>
        </w:rPr>
        <w:t>  </w:t>
      </w:r>
      <w:r>
        <w:rPr/>
        <w:t>安徽大学教授仲</w:t>
      </w:r>
      <w:r>
        <w:rPr>
          <w:spacing w:val="80"/>
          <w:w w:val="150"/>
        </w:rPr>
        <w:t> </w:t>
      </w:r>
      <w:r>
        <w:rPr/>
        <w:t>红</w:t>
      </w:r>
      <w:r>
        <w:rPr>
          <w:spacing w:val="80"/>
          <w:w w:val="150"/>
        </w:rPr>
        <w:t>  </w:t>
      </w:r>
      <w:r>
        <w:rPr/>
        <w:t>安徽大学教授</w:t>
      </w:r>
      <w:r>
        <w:rPr/>
        <w:t>李迎松</w:t>
      </w:r>
      <w:r>
        <w:rPr>
          <w:spacing w:val="57"/>
          <w:w w:val="150"/>
        </w:rPr>
        <w:t>   </w:t>
      </w:r>
      <w:r>
        <w:rPr>
          <w:spacing w:val="-2"/>
        </w:rPr>
        <w:t>安徽大学教授</w:t>
      </w:r>
    </w:p>
    <w:p>
      <w:pPr>
        <w:pStyle w:val="BodyText"/>
        <w:tabs>
          <w:tab w:pos="1782" w:val="left" w:leader="none"/>
          <w:tab w:pos="2622" w:val="left" w:leader="none"/>
        </w:tabs>
        <w:spacing w:line="232" w:lineRule="auto"/>
        <w:ind w:left="1223" w:right="1685"/>
      </w:pPr>
      <w:r>
        <w:rPr>
          <w:spacing w:val="-4"/>
        </w:rPr>
        <w:t>孙怡宁</w:t>
      </w:r>
      <w:r>
        <w:rPr/>
        <w:tab/>
      </w:r>
      <w:r>
        <w:rPr>
          <w:spacing w:val="-2"/>
        </w:rPr>
        <w:t>中国科学院合肥物质科学研究院研究员</w:t>
      </w:r>
      <w:r>
        <w:rPr>
          <w:spacing w:val="-10"/>
        </w:rPr>
        <w:t>刘</w:t>
      </w:r>
      <w:r>
        <w:rPr/>
        <w:tab/>
      </w:r>
      <w:r>
        <w:rPr>
          <w:spacing w:val="-10"/>
        </w:rPr>
        <w:t>奎</w:t>
      </w:r>
      <w:r>
        <w:rPr/>
        <w:tab/>
      </w:r>
      <w:r>
        <w:rPr>
          <w:spacing w:val="-2"/>
        </w:rPr>
        <w:t>安庆师范大学教授</w:t>
      </w:r>
    </w:p>
    <w:p>
      <w:pPr>
        <w:pStyle w:val="BodyText"/>
        <w:tabs>
          <w:tab w:pos="2622" w:val="left" w:leader="none"/>
        </w:tabs>
        <w:spacing w:line="232" w:lineRule="auto"/>
        <w:ind w:left="1223" w:right="4205"/>
      </w:pPr>
      <w:r>
        <w:rPr>
          <w:spacing w:val="-4"/>
        </w:rPr>
        <w:t>王远志</w:t>
      </w:r>
      <w:r>
        <w:rPr/>
        <w:tab/>
      </w:r>
      <w:r>
        <w:rPr>
          <w:spacing w:val="-2"/>
        </w:rPr>
        <w:t>安庆师范大学教</w:t>
      </w:r>
      <w:r>
        <w:rPr>
          <w:spacing w:val="-2"/>
        </w:rPr>
        <w:t>授</w:t>
      </w:r>
      <w:r>
        <w:rPr>
          <w:spacing w:val="-4"/>
        </w:rPr>
        <w:t>陈桂林</w:t>
      </w:r>
      <w:r>
        <w:rPr/>
        <w:tab/>
      </w:r>
      <w:r>
        <w:rPr>
          <w:spacing w:val="-2"/>
        </w:rPr>
        <w:t>滁州学院教授</w:t>
      </w:r>
    </w:p>
    <w:p>
      <w:pPr>
        <w:pStyle w:val="BodyText"/>
        <w:tabs>
          <w:tab w:pos="2622" w:val="left" w:leader="none"/>
        </w:tabs>
        <w:spacing w:line="232" w:lineRule="auto"/>
        <w:ind w:left="1223" w:right="4767"/>
      </w:pPr>
      <w:r>
        <w:rPr>
          <w:spacing w:val="-4"/>
        </w:rPr>
        <w:t>赵生慧</w:t>
      </w:r>
      <w:r>
        <w:rPr/>
        <w:tab/>
      </w:r>
      <w:r>
        <w:rPr>
          <w:spacing w:val="-2"/>
        </w:rPr>
        <w:t>滁州学院教</w:t>
      </w:r>
      <w:r>
        <w:rPr>
          <w:spacing w:val="-2"/>
        </w:rPr>
        <w:t>授苏本</w:t>
      </w:r>
      <w:r>
        <w:rPr>
          <w:spacing w:val="-10"/>
        </w:rPr>
        <w:t>跃</w:t>
      </w:r>
      <w:r>
        <w:rPr/>
        <w:tab/>
      </w:r>
      <w:r>
        <w:rPr>
          <w:spacing w:val="-2"/>
        </w:rPr>
        <w:t>铜陵学院教</w:t>
      </w:r>
      <w:r>
        <w:rPr>
          <w:spacing w:val="-10"/>
        </w:rPr>
        <w:t>授</w:t>
      </w:r>
    </w:p>
    <w:p>
      <w:pPr>
        <w:pStyle w:val="BodyText"/>
        <w:tabs>
          <w:tab w:pos="2622" w:val="left" w:leader="none"/>
        </w:tabs>
        <w:spacing w:line="232" w:lineRule="auto"/>
        <w:ind w:left="1223" w:right="4205"/>
      </w:pPr>
      <w:r>
        <w:rPr>
          <w:spacing w:val="-4"/>
        </w:rPr>
        <w:t>鲁昌华</w:t>
      </w:r>
      <w:r>
        <w:rPr/>
        <w:tab/>
      </w:r>
      <w:r>
        <w:rPr>
          <w:spacing w:val="-2"/>
        </w:rPr>
        <w:t>合肥工业大学教</w:t>
      </w:r>
      <w:r>
        <w:rPr>
          <w:spacing w:val="-2"/>
        </w:rPr>
        <w:t>授</w:t>
      </w:r>
      <w:r>
        <w:rPr>
          <w:spacing w:val="-4"/>
        </w:rPr>
        <w:t>顾涓涓</w:t>
      </w:r>
      <w:r>
        <w:rPr/>
        <w:tab/>
      </w:r>
      <w:r>
        <w:rPr>
          <w:spacing w:val="-2"/>
        </w:rPr>
        <w:t>合肥大学教授</w:t>
      </w:r>
    </w:p>
    <w:p>
      <w:pPr>
        <w:pStyle w:val="BodyText"/>
        <w:spacing w:line="232" w:lineRule="auto"/>
        <w:ind w:left="1223" w:right="4205"/>
        <w:jc w:val="both"/>
      </w:pPr>
      <w:r>
        <w:rPr/>
        <w:t>黄</w:t>
      </w:r>
      <w:r>
        <w:rPr>
          <w:spacing w:val="80"/>
          <w:w w:val="150"/>
        </w:rPr>
        <w:t> </w:t>
      </w:r>
      <w:r>
        <w:rPr/>
        <w:t>俊</w:t>
      </w:r>
      <w:r>
        <w:rPr>
          <w:spacing w:val="80"/>
          <w:w w:val="150"/>
        </w:rPr>
        <w:t>  </w:t>
      </w:r>
      <w:r>
        <w:rPr/>
        <w:t>安徽工业大学教授</w:t>
      </w:r>
      <w:r>
        <w:rPr>
          <w:spacing w:val="10"/>
        </w:rPr>
        <w:t>宋万干  淮北师范大学教授</w:t>
      </w:r>
      <w:r>
        <w:rPr/>
        <w:t>郑尚志</w:t>
      </w:r>
      <w:r>
        <w:rPr>
          <w:spacing w:val="80"/>
          <w:w w:val="150"/>
        </w:rPr>
        <w:t>  </w:t>
      </w:r>
      <w:r>
        <w:rPr/>
        <w:t>巢湖学院教授</w:t>
      </w:r>
    </w:p>
    <w:p>
      <w:pPr>
        <w:pStyle w:val="BodyText"/>
        <w:spacing w:line="232" w:lineRule="auto"/>
        <w:ind w:left="1223" w:right="4767"/>
        <w:jc w:val="both"/>
      </w:pPr>
      <w:r>
        <w:rPr>
          <w:spacing w:val="12"/>
        </w:rPr>
        <w:t>吴其林  巢湖学院教授</w:t>
      </w:r>
      <w:r>
        <w:rPr/>
        <w:t>崔</w:t>
      </w:r>
      <w:r>
        <w:rPr>
          <w:spacing w:val="80"/>
          <w:w w:val="150"/>
        </w:rPr>
        <w:t> </w:t>
      </w:r>
      <w:r>
        <w:rPr/>
        <w:t>琳</w:t>
      </w:r>
      <w:r>
        <w:rPr>
          <w:spacing w:val="80"/>
          <w:w w:val="150"/>
        </w:rPr>
        <w:t>  </w:t>
      </w:r>
      <w:r>
        <w:rPr/>
        <w:t>宿州学院教授</w:t>
      </w:r>
      <w:r>
        <w:rPr>
          <w:spacing w:val="12"/>
        </w:rPr>
        <w:t>张万礼  宿州学院教授</w:t>
      </w:r>
      <w:r>
        <w:rPr/>
        <w:t>周先存</w:t>
      </w:r>
      <w:r>
        <w:rPr>
          <w:spacing w:val="57"/>
          <w:w w:val="150"/>
        </w:rPr>
        <w:t>   </w:t>
      </w:r>
      <w:r>
        <w:rPr>
          <w:spacing w:val="-2"/>
        </w:rPr>
        <w:t>皖西学院教授</w:t>
      </w:r>
    </w:p>
    <w:p>
      <w:pPr>
        <w:pStyle w:val="BodyText"/>
        <w:spacing w:line="232" w:lineRule="auto"/>
        <w:ind w:left="1223" w:right="4205"/>
        <w:jc w:val="both"/>
      </w:pPr>
      <w:r>
        <w:rPr/>
        <w:t>许</w:t>
      </w:r>
      <w:r>
        <w:rPr>
          <w:spacing w:val="80"/>
          <w:w w:val="150"/>
        </w:rPr>
        <w:t> </w:t>
      </w:r>
      <w:r>
        <w:rPr/>
        <w:t>勇</w:t>
      </w:r>
      <w:r>
        <w:rPr>
          <w:spacing w:val="80"/>
          <w:w w:val="150"/>
        </w:rPr>
        <w:t>  </w:t>
      </w:r>
      <w:r>
        <w:rPr/>
        <w:t>安徽师范大学教授</w:t>
      </w:r>
      <w:r>
        <w:rPr>
          <w:spacing w:val="10"/>
        </w:rPr>
        <w:t>陈国龙  安徽师范大学教授胡庆华  合肥师范学院教授</w:t>
      </w:r>
      <w:r>
        <w:rPr/>
        <w:t>谢</w:t>
      </w:r>
      <w:r>
        <w:rPr>
          <w:spacing w:val="80"/>
          <w:w w:val="150"/>
        </w:rPr>
        <w:t> </w:t>
      </w:r>
      <w:r>
        <w:rPr/>
        <w:t>飞</w:t>
      </w:r>
      <w:r>
        <w:rPr>
          <w:spacing w:val="80"/>
          <w:w w:val="150"/>
        </w:rPr>
        <w:t>  </w:t>
      </w:r>
      <w:r>
        <w:rPr/>
        <w:t>合肥师范学院教授孟</w:t>
      </w:r>
      <w:r>
        <w:rPr>
          <w:spacing w:val="80"/>
          <w:w w:val="150"/>
        </w:rPr>
        <w:t> </w:t>
      </w:r>
      <w:r>
        <w:rPr/>
        <w:t>浩</w:t>
      </w:r>
      <w:r>
        <w:rPr>
          <w:spacing w:val="80"/>
          <w:w w:val="150"/>
        </w:rPr>
        <w:t>  </w:t>
      </w:r>
      <w:r>
        <w:rPr/>
        <w:t>安徽农业大学教授张友华</w:t>
      </w:r>
      <w:r>
        <w:rPr>
          <w:spacing w:val="57"/>
          <w:w w:val="150"/>
        </w:rPr>
        <w:t>   </w:t>
      </w:r>
      <w:r>
        <w:rPr>
          <w:spacing w:val="-2"/>
        </w:rPr>
        <w:t>安徽农业大学教授</w:t>
      </w:r>
    </w:p>
    <w:p>
      <w:pPr>
        <w:pStyle w:val="BodyText"/>
        <w:spacing w:after="0" w:line="232" w:lineRule="auto"/>
        <w:jc w:val="both"/>
        <w:sectPr>
          <w:pgSz w:w="11910" w:h="16840"/>
          <w:pgMar w:header="0" w:footer="971" w:top="1440" w:bottom="1160" w:left="1417" w:right="1417"/>
        </w:sectPr>
      </w:pPr>
    </w:p>
    <w:p>
      <w:pPr>
        <w:pStyle w:val="Heading2"/>
        <w:spacing w:line="261" w:lineRule="auto" w:before="16"/>
        <w:ind w:left="944" w:right="6444" w:hanging="562"/>
      </w:pPr>
      <w:r>
        <w:rPr>
          <w:spacing w:val="-2"/>
        </w:rPr>
        <w:t>（三）仲裁委员会</w:t>
      </w:r>
      <w:r>
        <w:rPr>
          <w:spacing w:val="-4"/>
        </w:rPr>
        <w:t>主任委员：</w:t>
      </w:r>
    </w:p>
    <w:p>
      <w:pPr>
        <w:pStyle w:val="BodyText"/>
        <w:tabs>
          <w:tab w:pos="2622" w:val="left" w:leader="none"/>
        </w:tabs>
        <w:ind w:left="1223"/>
      </w:pPr>
      <w:r>
        <w:rPr>
          <w:spacing w:val="-2"/>
        </w:rPr>
        <w:t>王熙</w:t>
      </w:r>
      <w:r>
        <w:rPr>
          <w:spacing w:val="-10"/>
        </w:rPr>
        <w:t>法</w:t>
      </w:r>
      <w:r>
        <w:rPr/>
        <w:tab/>
      </w:r>
      <w:r>
        <w:rPr>
          <w:spacing w:val="-2"/>
        </w:rPr>
        <w:t>中国科学技术大学教</w:t>
      </w:r>
      <w:r>
        <w:rPr>
          <w:spacing w:val="-10"/>
        </w:rPr>
        <w:t>授</w:t>
      </w:r>
    </w:p>
    <w:p>
      <w:pPr>
        <w:pStyle w:val="Heading2"/>
        <w:spacing w:before="43"/>
        <w:ind w:left="944"/>
      </w:pPr>
      <w:r>
        <w:rPr>
          <w:spacing w:val="-5"/>
        </w:rPr>
        <w:t>委员：</w:t>
      </w:r>
    </w:p>
    <w:p>
      <w:pPr>
        <w:pStyle w:val="BodyText"/>
        <w:tabs>
          <w:tab w:pos="1782" w:val="left" w:leader="none"/>
          <w:tab w:pos="2622" w:val="left" w:leader="none"/>
        </w:tabs>
        <w:spacing w:line="261" w:lineRule="auto" w:before="43"/>
        <w:ind w:left="1223" w:right="1685"/>
      </w:pPr>
      <w:r>
        <w:rPr>
          <w:spacing w:val="-10"/>
        </w:rPr>
        <w:t>李</w:t>
      </w:r>
      <w:r>
        <w:rPr/>
        <w:tab/>
      </w:r>
      <w:r>
        <w:rPr>
          <w:spacing w:val="-10"/>
        </w:rPr>
        <w:t>淼</w:t>
      </w:r>
      <w:r>
        <w:rPr/>
        <w:tab/>
      </w:r>
      <w:r>
        <w:rPr>
          <w:spacing w:val="-2"/>
        </w:rPr>
        <w:t>中国科学院合肥物质科学研究院研究员姚志</w:t>
      </w:r>
      <w:r>
        <w:rPr>
          <w:spacing w:val="-10"/>
        </w:rPr>
        <w:t>明</w:t>
      </w:r>
      <w:r>
        <w:rPr/>
        <w:tab/>
      </w:r>
      <w:r>
        <w:rPr>
          <w:spacing w:val="-2"/>
        </w:rPr>
        <w:t>中国科学院合肥物质科学研究院研究</w:t>
      </w:r>
      <w:r>
        <w:rPr>
          <w:spacing w:val="-10"/>
        </w:rPr>
        <w:t>员</w:t>
      </w:r>
    </w:p>
    <w:p>
      <w:pPr>
        <w:pStyle w:val="Heading2"/>
        <w:spacing w:before="308"/>
        <w:ind w:left="0" w:right="7006"/>
        <w:jc w:val="right"/>
      </w:pPr>
      <w:r>
        <w:rPr>
          <w:spacing w:val="-2"/>
        </w:rPr>
        <w:t>（四）</w:t>
      </w:r>
      <w:r>
        <w:rPr>
          <w:spacing w:val="-5"/>
        </w:rPr>
        <w:t>秘书处</w:t>
      </w:r>
    </w:p>
    <w:p>
      <w:pPr>
        <w:spacing w:before="43"/>
        <w:ind w:left="0" w:right="7003" w:firstLine="0"/>
        <w:jc w:val="right"/>
        <w:rPr>
          <w:b/>
          <w:sz w:val="28"/>
        </w:rPr>
      </w:pPr>
      <w:r>
        <w:rPr>
          <w:b/>
          <w:spacing w:val="-4"/>
          <w:sz w:val="28"/>
        </w:rPr>
        <w:t>秘书长：</w:t>
      </w:r>
    </w:p>
    <w:p>
      <w:pPr>
        <w:pStyle w:val="BodyText"/>
        <w:tabs>
          <w:tab w:pos="1923" w:val="left" w:leader="none"/>
          <w:tab w:pos="2763" w:val="left" w:leader="none"/>
        </w:tabs>
        <w:spacing w:before="45"/>
        <w:ind w:left="1364"/>
      </w:pPr>
      <w:r>
        <w:rPr>
          <w:spacing w:val="-10"/>
        </w:rPr>
        <w:t>卫</w:t>
      </w:r>
      <w:r>
        <w:rPr/>
        <w:tab/>
      </w:r>
      <w:r>
        <w:rPr>
          <w:spacing w:val="-10"/>
        </w:rPr>
        <w:t>兵</w:t>
      </w:r>
      <w:r>
        <w:rPr/>
        <w:tab/>
      </w:r>
      <w:r>
        <w:rPr>
          <w:spacing w:val="-2"/>
        </w:rPr>
        <w:t>合肥师范学院副教</w:t>
      </w:r>
      <w:r>
        <w:rPr>
          <w:spacing w:val="-10"/>
        </w:rPr>
        <w:t>授</w:t>
      </w:r>
    </w:p>
    <w:p>
      <w:pPr>
        <w:pStyle w:val="Heading2"/>
        <w:spacing w:before="44"/>
        <w:ind w:left="944"/>
      </w:pPr>
      <w:r>
        <w:rPr>
          <w:spacing w:val="-5"/>
        </w:rPr>
        <w:t>成员：</w:t>
      </w:r>
    </w:p>
    <w:p>
      <w:pPr>
        <w:pStyle w:val="BodyText"/>
        <w:tabs>
          <w:tab w:pos="1923" w:val="left" w:leader="none"/>
          <w:tab w:pos="2763" w:val="left" w:leader="none"/>
        </w:tabs>
        <w:spacing w:line="261" w:lineRule="auto" w:before="43"/>
        <w:ind w:left="1364" w:right="4063"/>
      </w:pPr>
      <w:r>
        <w:rPr>
          <w:spacing w:val="-4"/>
        </w:rPr>
        <w:t>吴海峰</w:t>
      </w:r>
      <w:r>
        <w:rPr/>
        <w:tab/>
      </w:r>
      <w:r>
        <w:rPr>
          <w:spacing w:val="-2"/>
        </w:rPr>
        <w:t>安庆师范大学教</w:t>
      </w:r>
      <w:r>
        <w:rPr>
          <w:spacing w:val="-2"/>
        </w:rPr>
        <w:t>授</w:t>
      </w:r>
      <w:r>
        <w:rPr>
          <w:spacing w:val="-10"/>
        </w:rPr>
        <w:t>张</w:t>
      </w:r>
      <w:r>
        <w:rPr/>
        <w:tab/>
      </w:r>
      <w:r>
        <w:rPr>
          <w:spacing w:val="-10"/>
        </w:rPr>
        <w:t>胜</w:t>
      </w:r>
      <w:r>
        <w:rPr/>
        <w:tab/>
      </w:r>
      <w:r>
        <w:rPr>
          <w:spacing w:val="-2"/>
        </w:rPr>
        <w:t>合肥大学副教授</w:t>
      </w:r>
    </w:p>
    <w:p>
      <w:pPr>
        <w:pStyle w:val="BodyText"/>
        <w:tabs>
          <w:tab w:pos="2763" w:val="left" w:leader="none"/>
        </w:tabs>
        <w:spacing w:line="259" w:lineRule="auto"/>
        <w:ind w:left="1364" w:right="3223"/>
      </w:pPr>
      <w:r>
        <w:rPr>
          <w:spacing w:val="-4"/>
        </w:rPr>
        <w:t>卢建良</w:t>
      </w:r>
      <w:r>
        <w:rPr/>
        <w:tab/>
      </w:r>
      <w:r>
        <w:rPr>
          <w:spacing w:val="-2"/>
        </w:rPr>
        <w:t>中国科学技术大学副教授</w:t>
      </w:r>
      <w:r>
        <w:rPr>
          <w:spacing w:val="-4"/>
        </w:rPr>
        <w:t>程泽凯</w:t>
      </w:r>
      <w:r>
        <w:rPr/>
        <w:tab/>
      </w:r>
      <w:r>
        <w:rPr>
          <w:spacing w:val="-2"/>
        </w:rPr>
        <w:t>安徽工业大学教授</w:t>
      </w:r>
    </w:p>
    <w:p>
      <w:pPr>
        <w:pStyle w:val="Heading1"/>
        <w:spacing w:before="426"/>
      </w:pPr>
      <w:r>
        <w:rPr>
          <w:spacing w:val="-2"/>
        </w:rPr>
        <w:t>三、竞赛目的</w:t>
      </w:r>
    </w:p>
    <w:p>
      <w:pPr>
        <w:pStyle w:val="BodyText"/>
        <w:spacing w:line="268" w:lineRule="auto" w:before="198"/>
        <w:ind w:right="101" w:firstLine="559"/>
      </w:pPr>
      <w:r>
        <w:rPr>
          <w:spacing w:val="-2"/>
        </w:rPr>
        <w:t>安徽省高校物联网应用创新大赛（以下简称大赛）以激发学生的</w:t>
      </w:r>
      <w:r>
        <w:rPr>
          <w:spacing w:val="-2"/>
        </w:rPr>
        <w:t> </w:t>
      </w:r>
      <w:r>
        <w:rPr>
          <w:spacing w:val="-9"/>
        </w:rPr>
        <w:t>创新精神并培养实践能力为宗旨，综合考察参赛团队的设计和工程实现</w:t>
      </w:r>
      <w:r>
        <w:rPr>
          <w:spacing w:val="-4"/>
        </w:rPr>
        <w:t>能力，为探索物联网相关专业人才培养模式提供有力支持。大赛以高校大学生为主体，通过高校和企业专家的共同指导，促进物联网相关专业实践教学体系的完善与发展，提升分析和解决问题的能力，为高质量的物联网相关专业人才培养搭建交流、展示、合作的平台，并推动物联网</w:t>
      </w:r>
      <w:r>
        <w:rPr>
          <w:spacing w:val="-9"/>
        </w:rPr>
        <w:t>技术在相关领域的应用与发展，为我省发展十大新兴产业，</w:t>
      </w:r>
    </w:p>
    <w:p>
      <w:pPr>
        <w:pStyle w:val="BodyText"/>
        <w:spacing w:after="0" w:line="268" w:lineRule="auto"/>
        <w:sectPr>
          <w:pgSz w:w="11910" w:h="16840"/>
          <w:pgMar w:header="0" w:footer="971" w:top="1500" w:bottom="1160" w:left="1417" w:right="1417"/>
        </w:sectPr>
      </w:pPr>
    </w:p>
    <w:p>
      <w:pPr>
        <w:pStyle w:val="BodyText"/>
        <w:spacing w:line="271" w:lineRule="auto" w:before="16"/>
        <w:ind w:right="379"/>
      </w:pPr>
      <w:r>
        <w:rPr>
          <w:spacing w:val="-4"/>
        </w:rPr>
        <w:t>打造新兴产业聚集地，促进高校人才培养，切实增强高校服务发展新</w:t>
      </w:r>
      <w:r>
        <w:rPr>
          <w:spacing w:val="-2"/>
        </w:rPr>
        <w:t>质生产力的能力。</w:t>
      </w:r>
    </w:p>
    <w:p>
      <w:pPr>
        <w:pStyle w:val="Heading1"/>
        <w:spacing w:before="405"/>
      </w:pPr>
      <w:r>
        <w:rPr>
          <w:spacing w:val="-2"/>
        </w:rPr>
        <w:t>四、大赛流程</w:t>
      </w:r>
    </w:p>
    <w:p>
      <w:pPr>
        <w:pStyle w:val="BodyText"/>
        <w:spacing w:line="271" w:lineRule="auto" w:before="196" w:after="55"/>
        <w:ind w:right="240" w:firstLine="561"/>
      </w:pPr>
      <w:r>
        <w:rPr>
          <w:spacing w:val="-8"/>
        </w:rPr>
        <w:t>大赛工作内容和赛项日程总体安排如下</w:t>
      </w:r>
      <w:r>
        <w:rPr>
          <w:spacing w:val="-2"/>
        </w:rPr>
        <w:t>（若因各种不可控原因使</w:t>
      </w:r>
      <w:r>
        <w:rPr>
          <w:spacing w:val="-12"/>
        </w:rPr>
        <w:t>比赛不能如期进行，则相应的竞赛时间将后延，具体日期另行通知</w:t>
      </w:r>
      <w:r>
        <w:rPr>
          <w:spacing w:val="-116"/>
        </w:rPr>
        <w:t>）</w:t>
      </w:r>
      <w:r>
        <w:rPr/>
        <w:t>：</w:t>
      </w:r>
    </w:p>
    <w:tbl>
      <w:tblPr>
        <w:tblW w:w="0" w:type="auto"/>
        <w:jc w:val="left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4"/>
        <w:gridCol w:w="2294"/>
        <w:gridCol w:w="2268"/>
        <w:gridCol w:w="1673"/>
        <w:gridCol w:w="991"/>
      </w:tblGrid>
      <w:tr>
        <w:trPr>
          <w:trHeight w:val="542" w:hRule="atLeast"/>
        </w:trPr>
        <w:tc>
          <w:tcPr>
            <w:tcW w:w="1704" w:type="dxa"/>
            <w:shd w:val="clear" w:color="auto" w:fill="D9D9D9"/>
          </w:tcPr>
          <w:p>
            <w:pPr>
              <w:pStyle w:val="TableParagraph"/>
              <w:spacing w:before="4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时间</w:t>
            </w:r>
          </w:p>
        </w:tc>
        <w:tc>
          <w:tcPr>
            <w:tcW w:w="2294" w:type="dxa"/>
            <w:shd w:val="clear" w:color="auto" w:fill="D9D9D9"/>
          </w:tcPr>
          <w:p>
            <w:pPr>
              <w:pStyle w:val="TableParagraph"/>
              <w:spacing w:before="48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内容</w:t>
            </w:r>
          </w:p>
        </w:tc>
        <w:tc>
          <w:tcPr>
            <w:tcW w:w="2268" w:type="dxa"/>
            <w:shd w:val="clear" w:color="auto" w:fill="D9D9D9"/>
          </w:tcPr>
          <w:p>
            <w:pPr>
              <w:pStyle w:val="TableParagraph"/>
              <w:spacing w:before="48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参加人员</w:t>
            </w:r>
          </w:p>
        </w:tc>
        <w:tc>
          <w:tcPr>
            <w:tcW w:w="1673" w:type="dxa"/>
            <w:shd w:val="clear" w:color="auto" w:fill="D9D9D9"/>
          </w:tcPr>
          <w:p>
            <w:pPr>
              <w:pStyle w:val="TableParagraph"/>
              <w:spacing w:before="48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地点</w:t>
            </w:r>
          </w:p>
        </w:tc>
        <w:tc>
          <w:tcPr>
            <w:tcW w:w="991" w:type="dxa"/>
            <w:shd w:val="clear" w:color="auto" w:fill="D9D9D9"/>
          </w:tcPr>
          <w:p>
            <w:pPr>
              <w:pStyle w:val="TableParagraph"/>
              <w:spacing w:before="48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方式</w:t>
            </w:r>
          </w:p>
        </w:tc>
      </w:tr>
      <w:tr>
        <w:trPr>
          <w:trHeight w:val="637" w:hRule="atLeast"/>
        </w:trPr>
        <w:tc>
          <w:tcPr>
            <w:tcW w:w="1704" w:type="dxa"/>
          </w:tcPr>
          <w:p>
            <w:pPr>
              <w:pStyle w:val="TableParagraph"/>
              <w:spacing w:line="318" w:lineRule="exact"/>
              <w:ind w:left="400"/>
              <w:rPr>
                <w:sz w:val="24"/>
              </w:rPr>
            </w:pPr>
            <w:r>
              <w:rPr>
                <w:rFonts w:ascii="MingLiU_HKSCS-ExtB" w:eastAsia="MingLiU_HKSCS-ExtB"/>
                <w:sz w:val="24"/>
              </w:rPr>
              <w:t>4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6"/>
                <w:sz w:val="24"/>
              </w:rPr>
              <w:t>月 </w:t>
            </w:r>
            <w:r>
              <w:rPr>
                <w:rFonts w:ascii="MingLiU_HKSCS-ExtB" w:eastAsia="MingLiU_HKSCS-ExtB"/>
                <w:sz w:val="24"/>
              </w:rPr>
              <w:t>5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10"/>
                <w:sz w:val="24"/>
              </w:rPr>
              <w:t>日</w:t>
            </w:r>
          </w:p>
          <w:p>
            <w:pPr>
              <w:pStyle w:val="TableParagraph"/>
              <w:spacing w:line="300" w:lineRule="exact"/>
              <w:ind w:left="340"/>
              <w:rPr>
                <w:sz w:val="24"/>
              </w:rPr>
            </w:pPr>
            <w:r>
              <w:rPr>
                <w:rFonts w:ascii="MingLiU_HKSCS-ExtB" w:eastAsia="MingLiU_HKSCS-ExtB"/>
                <w:sz w:val="24"/>
              </w:rPr>
              <w:t>-5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6"/>
                <w:sz w:val="24"/>
              </w:rPr>
              <w:t>月 </w:t>
            </w:r>
            <w:r>
              <w:rPr>
                <w:rFonts w:ascii="MingLiU_HKSCS-ExtB" w:eastAsia="MingLiU_HKSCS-ExtB"/>
                <w:sz w:val="24"/>
              </w:rPr>
              <w:t>5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10"/>
                <w:sz w:val="24"/>
              </w:rPr>
              <w:t>日</w:t>
            </w:r>
          </w:p>
        </w:tc>
        <w:tc>
          <w:tcPr>
            <w:tcW w:w="2294" w:type="dxa"/>
          </w:tcPr>
          <w:p>
            <w:pPr>
              <w:pStyle w:val="TableParagraph"/>
              <w:spacing w:line="318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技能赛赛前技术培</w:t>
            </w:r>
          </w:p>
          <w:p>
            <w:pPr>
              <w:pStyle w:val="TableParagraph"/>
              <w:spacing w:line="300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训及样题公布</w:t>
            </w:r>
          </w:p>
        </w:tc>
        <w:tc>
          <w:tcPr>
            <w:tcW w:w="2268" w:type="dxa"/>
          </w:tcPr>
          <w:p>
            <w:pPr>
              <w:pStyle w:val="TableParagraph"/>
              <w:spacing w:line="31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参赛队员、参赛学校</w:t>
            </w:r>
          </w:p>
          <w:p>
            <w:pPr>
              <w:pStyle w:val="TableParagraph"/>
              <w:spacing w:line="300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相关工作人员</w:t>
            </w:r>
          </w:p>
        </w:tc>
        <w:tc>
          <w:tcPr>
            <w:tcW w:w="1673" w:type="dxa"/>
          </w:tcPr>
          <w:p>
            <w:pPr>
              <w:pStyle w:val="TableParagraph"/>
              <w:spacing w:before="96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安庆师范大学</w:t>
            </w:r>
          </w:p>
        </w:tc>
        <w:tc>
          <w:tcPr>
            <w:tcW w:w="991" w:type="dxa"/>
          </w:tcPr>
          <w:p>
            <w:pPr>
              <w:pStyle w:val="TableParagraph"/>
              <w:spacing w:before="96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线上</w:t>
            </w:r>
          </w:p>
        </w:tc>
      </w:tr>
      <w:tr>
        <w:trPr>
          <w:trHeight w:val="640" w:hRule="atLeast"/>
        </w:trPr>
        <w:tc>
          <w:tcPr>
            <w:tcW w:w="1704" w:type="dxa"/>
          </w:tcPr>
          <w:p>
            <w:pPr>
              <w:pStyle w:val="TableParagraph"/>
              <w:spacing w:line="321" w:lineRule="exact"/>
              <w:ind w:left="340"/>
              <w:rPr>
                <w:sz w:val="24"/>
              </w:rPr>
            </w:pPr>
            <w:r>
              <w:rPr>
                <w:rFonts w:ascii="MingLiU_HKSCS-ExtB" w:eastAsia="MingLiU_HKSCS-ExtB"/>
                <w:sz w:val="24"/>
              </w:rPr>
              <w:t>4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6"/>
                <w:sz w:val="24"/>
              </w:rPr>
              <w:t>月 </w:t>
            </w:r>
            <w:r>
              <w:rPr>
                <w:rFonts w:ascii="MingLiU_HKSCS-ExtB" w:eastAsia="MingLiU_HKSCS-ExtB"/>
                <w:sz w:val="24"/>
              </w:rPr>
              <w:t>10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10"/>
                <w:sz w:val="24"/>
              </w:rPr>
              <w:t>日</w:t>
            </w:r>
          </w:p>
          <w:p>
            <w:pPr>
              <w:pStyle w:val="TableParagraph"/>
              <w:spacing w:line="300" w:lineRule="exact"/>
              <w:ind w:left="280"/>
              <w:rPr>
                <w:sz w:val="24"/>
              </w:rPr>
            </w:pPr>
            <w:r>
              <w:rPr>
                <w:rFonts w:ascii="MingLiU_HKSCS-ExtB" w:eastAsia="MingLiU_HKSCS-ExtB"/>
                <w:sz w:val="24"/>
              </w:rPr>
              <w:t>-4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6"/>
                <w:sz w:val="24"/>
              </w:rPr>
              <w:t>月 </w:t>
            </w:r>
            <w:r>
              <w:rPr>
                <w:rFonts w:ascii="MingLiU_HKSCS-ExtB" w:eastAsia="MingLiU_HKSCS-ExtB"/>
                <w:sz w:val="24"/>
              </w:rPr>
              <w:t>20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10"/>
                <w:sz w:val="24"/>
              </w:rPr>
              <w:t>日</w:t>
            </w:r>
          </w:p>
        </w:tc>
        <w:tc>
          <w:tcPr>
            <w:tcW w:w="2294" w:type="dxa"/>
          </w:tcPr>
          <w:p>
            <w:pPr>
              <w:pStyle w:val="TableParagraph"/>
              <w:spacing w:before="98"/>
              <w:ind w:left="5"/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>大赛报名</w:t>
            </w:r>
          </w:p>
        </w:tc>
        <w:tc>
          <w:tcPr>
            <w:tcW w:w="2268" w:type="dxa"/>
          </w:tcPr>
          <w:p>
            <w:pPr>
              <w:pStyle w:val="TableParagraph"/>
              <w:spacing w:line="319" w:lineRule="exact"/>
              <w:ind w:left="10"/>
              <w:jc w:val="center"/>
              <w:rPr>
                <w:sz w:val="24"/>
              </w:rPr>
            </w:pPr>
            <w:r>
              <w:rPr>
                <w:spacing w:val="-15"/>
                <w:sz w:val="24"/>
              </w:rPr>
              <w:t>参赛学生、指导教师</w:t>
            </w:r>
          </w:p>
          <w:p>
            <w:pPr>
              <w:pStyle w:val="TableParagraph"/>
              <w:spacing w:line="301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及相关人员</w:t>
            </w:r>
          </w:p>
        </w:tc>
        <w:tc>
          <w:tcPr>
            <w:tcW w:w="1673" w:type="dxa"/>
          </w:tcPr>
          <w:p>
            <w:pPr>
              <w:pStyle w:val="TableParagraph"/>
              <w:spacing w:before="98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各参赛学校</w:t>
            </w:r>
          </w:p>
        </w:tc>
        <w:tc>
          <w:tcPr>
            <w:tcW w:w="991" w:type="dxa"/>
          </w:tcPr>
          <w:p>
            <w:pPr>
              <w:pStyle w:val="TableParagraph"/>
              <w:spacing w:line="319" w:lineRule="exact"/>
              <w:ind w:left="254"/>
              <w:rPr>
                <w:sz w:val="24"/>
              </w:rPr>
            </w:pPr>
            <w:r>
              <w:rPr>
                <w:spacing w:val="-5"/>
                <w:sz w:val="24"/>
              </w:rPr>
              <w:t>网上</w:t>
            </w:r>
          </w:p>
          <w:p>
            <w:pPr>
              <w:pStyle w:val="TableParagraph"/>
              <w:spacing w:line="301" w:lineRule="exact"/>
              <w:ind w:left="254"/>
              <w:rPr>
                <w:sz w:val="24"/>
              </w:rPr>
            </w:pPr>
            <w:r>
              <w:rPr>
                <w:spacing w:val="-5"/>
                <w:sz w:val="24"/>
              </w:rPr>
              <w:t>报名</w:t>
            </w:r>
          </w:p>
        </w:tc>
      </w:tr>
      <w:tr>
        <w:trPr>
          <w:trHeight w:val="640" w:hRule="atLeast"/>
        </w:trPr>
        <w:tc>
          <w:tcPr>
            <w:tcW w:w="1704" w:type="dxa"/>
          </w:tcPr>
          <w:p>
            <w:pPr>
              <w:pStyle w:val="TableParagraph"/>
              <w:spacing w:line="321" w:lineRule="exact"/>
              <w:ind w:left="340"/>
              <w:rPr>
                <w:sz w:val="24"/>
              </w:rPr>
            </w:pPr>
            <w:r>
              <w:rPr>
                <w:rFonts w:ascii="MingLiU_HKSCS-ExtB" w:eastAsia="MingLiU_HKSCS-ExtB"/>
                <w:sz w:val="24"/>
              </w:rPr>
              <w:t>4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6"/>
                <w:sz w:val="24"/>
              </w:rPr>
              <w:t>月 </w:t>
            </w:r>
            <w:r>
              <w:rPr>
                <w:rFonts w:ascii="MingLiU_HKSCS-ExtB" w:eastAsia="MingLiU_HKSCS-ExtB"/>
                <w:sz w:val="24"/>
              </w:rPr>
              <w:t>20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10"/>
                <w:sz w:val="24"/>
              </w:rPr>
              <w:t>日</w:t>
            </w:r>
          </w:p>
          <w:p>
            <w:pPr>
              <w:pStyle w:val="TableParagraph"/>
              <w:spacing w:line="300" w:lineRule="exact"/>
              <w:ind w:left="280"/>
              <w:rPr>
                <w:sz w:val="24"/>
              </w:rPr>
            </w:pPr>
            <w:r>
              <w:rPr>
                <w:rFonts w:ascii="MingLiU_HKSCS-ExtB" w:eastAsia="MingLiU_HKSCS-ExtB"/>
                <w:sz w:val="24"/>
              </w:rPr>
              <w:t>-4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6"/>
                <w:sz w:val="24"/>
              </w:rPr>
              <w:t>月 </w:t>
            </w:r>
            <w:r>
              <w:rPr>
                <w:rFonts w:ascii="MingLiU_HKSCS-ExtB" w:eastAsia="MingLiU_HKSCS-ExtB"/>
                <w:sz w:val="24"/>
              </w:rPr>
              <w:t>30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10"/>
                <w:sz w:val="24"/>
              </w:rPr>
              <w:t>日</w:t>
            </w:r>
          </w:p>
        </w:tc>
        <w:tc>
          <w:tcPr>
            <w:tcW w:w="2294" w:type="dxa"/>
          </w:tcPr>
          <w:p>
            <w:pPr>
              <w:pStyle w:val="TableParagraph"/>
              <w:spacing w:before="98"/>
              <w:ind w:left="5"/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>技术指导</w:t>
            </w:r>
          </w:p>
        </w:tc>
        <w:tc>
          <w:tcPr>
            <w:tcW w:w="2268" w:type="dxa"/>
          </w:tcPr>
          <w:p>
            <w:pPr>
              <w:pStyle w:val="TableParagraph"/>
              <w:spacing w:before="98"/>
              <w:ind w:left="10" w:right="2"/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>技术人员</w:t>
            </w:r>
          </w:p>
        </w:tc>
        <w:tc>
          <w:tcPr>
            <w:tcW w:w="1673" w:type="dxa"/>
          </w:tcPr>
          <w:p>
            <w:pPr>
              <w:pStyle w:val="TableParagraph"/>
              <w:spacing w:before="98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各参赛学校</w:t>
            </w:r>
          </w:p>
        </w:tc>
        <w:tc>
          <w:tcPr>
            <w:tcW w:w="991" w:type="dxa"/>
          </w:tcPr>
          <w:p>
            <w:pPr>
              <w:pStyle w:val="TableParagraph"/>
              <w:spacing w:line="319" w:lineRule="exact"/>
              <w:ind w:left="134"/>
              <w:rPr>
                <w:sz w:val="24"/>
              </w:rPr>
            </w:pPr>
            <w:r>
              <w:rPr>
                <w:spacing w:val="-4"/>
                <w:sz w:val="24"/>
              </w:rPr>
              <w:t>线上或</w:t>
            </w:r>
          </w:p>
          <w:p>
            <w:pPr>
              <w:pStyle w:val="TableParagraph"/>
              <w:spacing w:line="301" w:lineRule="exact"/>
              <w:ind w:left="254"/>
              <w:rPr>
                <w:sz w:val="24"/>
              </w:rPr>
            </w:pPr>
            <w:r>
              <w:rPr>
                <w:spacing w:val="-5"/>
                <w:sz w:val="24"/>
              </w:rPr>
              <w:t>线下</w:t>
            </w:r>
          </w:p>
        </w:tc>
      </w:tr>
      <w:tr>
        <w:trPr>
          <w:trHeight w:val="321" w:hRule="atLeast"/>
        </w:trPr>
        <w:tc>
          <w:tcPr>
            <w:tcW w:w="1704" w:type="dxa"/>
            <w:vMerge w:val="restart"/>
          </w:tcPr>
          <w:p>
            <w:pPr>
              <w:pStyle w:val="TableParagraph"/>
              <w:spacing w:before="264"/>
              <w:ind w:left="340"/>
              <w:rPr>
                <w:sz w:val="24"/>
              </w:rPr>
            </w:pPr>
            <w:r>
              <w:rPr>
                <w:rFonts w:ascii="MingLiU_HKSCS-ExtB" w:eastAsia="MingLiU_HKSCS-ExtB"/>
                <w:sz w:val="24"/>
              </w:rPr>
              <w:t>5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6"/>
                <w:sz w:val="24"/>
              </w:rPr>
              <w:t>月 </w:t>
            </w:r>
            <w:r>
              <w:rPr>
                <w:rFonts w:ascii="MingLiU_HKSCS-ExtB" w:eastAsia="MingLiU_HKSCS-ExtB"/>
                <w:sz w:val="24"/>
              </w:rPr>
              <w:t>10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10"/>
                <w:sz w:val="24"/>
              </w:rPr>
              <w:t>日</w:t>
            </w:r>
          </w:p>
        </w:tc>
        <w:tc>
          <w:tcPr>
            <w:tcW w:w="2294" w:type="dxa"/>
            <w:vMerge w:val="restart"/>
          </w:tcPr>
          <w:p>
            <w:pPr>
              <w:pStyle w:val="TableParagraph"/>
              <w:spacing w:before="261"/>
              <w:ind w:left="664"/>
              <w:rPr>
                <w:sz w:val="24"/>
              </w:rPr>
            </w:pPr>
            <w:r>
              <w:rPr>
                <w:spacing w:val="-3"/>
                <w:sz w:val="24"/>
              </w:rPr>
              <w:t>正式比赛</w:t>
            </w:r>
          </w:p>
        </w:tc>
        <w:tc>
          <w:tcPr>
            <w:tcW w:w="2268" w:type="dxa"/>
          </w:tcPr>
          <w:p>
            <w:pPr>
              <w:pStyle w:val="TableParagraph"/>
              <w:spacing w:line="301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参赛队员、参赛学校</w:t>
            </w:r>
          </w:p>
        </w:tc>
        <w:tc>
          <w:tcPr>
            <w:tcW w:w="1673" w:type="dxa"/>
          </w:tcPr>
          <w:p>
            <w:pPr>
              <w:pStyle w:val="TableParagraph"/>
              <w:spacing w:line="301" w:lineRule="exact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各参赛学校</w:t>
            </w:r>
          </w:p>
        </w:tc>
        <w:tc>
          <w:tcPr>
            <w:tcW w:w="991" w:type="dxa"/>
            <w:vMerge w:val="restart"/>
          </w:tcPr>
          <w:p>
            <w:pPr>
              <w:pStyle w:val="TableParagraph"/>
              <w:spacing w:before="261"/>
              <w:ind w:left="254"/>
              <w:rPr>
                <w:sz w:val="24"/>
              </w:rPr>
            </w:pPr>
            <w:r>
              <w:rPr>
                <w:spacing w:val="-5"/>
                <w:sz w:val="24"/>
              </w:rPr>
              <w:t>线上</w:t>
            </w:r>
          </w:p>
        </w:tc>
      </w:tr>
      <w:tr>
        <w:trPr>
          <w:trHeight w:val="637" w:hRule="atLeast"/>
        </w:trPr>
        <w:tc>
          <w:tcPr>
            <w:tcW w:w="17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>
            <w:pPr>
              <w:pStyle w:val="TableParagraph"/>
              <w:spacing w:line="318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仲裁委员会、专家、</w:t>
            </w:r>
          </w:p>
          <w:p>
            <w:pPr>
              <w:pStyle w:val="TableParagraph"/>
              <w:spacing w:line="300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评委、相关工作人员</w:t>
            </w:r>
          </w:p>
        </w:tc>
        <w:tc>
          <w:tcPr>
            <w:tcW w:w="1673" w:type="dxa"/>
          </w:tcPr>
          <w:p>
            <w:pPr>
              <w:pStyle w:val="TableParagraph"/>
              <w:spacing w:before="96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安庆师范大学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40" w:hRule="atLeast"/>
        </w:trPr>
        <w:tc>
          <w:tcPr>
            <w:tcW w:w="1704" w:type="dxa"/>
          </w:tcPr>
          <w:p>
            <w:pPr>
              <w:pStyle w:val="TableParagraph"/>
              <w:spacing w:line="321" w:lineRule="exact"/>
              <w:ind w:left="340"/>
              <w:rPr>
                <w:sz w:val="24"/>
              </w:rPr>
            </w:pPr>
            <w:r>
              <w:rPr>
                <w:rFonts w:ascii="MingLiU_HKSCS-ExtB" w:eastAsia="MingLiU_HKSCS-ExtB"/>
                <w:sz w:val="24"/>
              </w:rPr>
              <w:t>5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6"/>
                <w:sz w:val="24"/>
              </w:rPr>
              <w:t>月 </w:t>
            </w:r>
            <w:r>
              <w:rPr>
                <w:rFonts w:ascii="MingLiU_HKSCS-ExtB" w:eastAsia="MingLiU_HKSCS-ExtB"/>
                <w:sz w:val="24"/>
              </w:rPr>
              <w:t>10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10"/>
                <w:sz w:val="24"/>
              </w:rPr>
              <w:t>日</w:t>
            </w:r>
          </w:p>
          <w:p>
            <w:pPr>
              <w:pStyle w:val="TableParagraph"/>
              <w:spacing w:line="300" w:lineRule="exact"/>
              <w:ind w:left="280"/>
              <w:rPr>
                <w:sz w:val="24"/>
              </w:rPr>
            </w:pPr>
            <w:r>
              <w:rPr>
                <w:rFonts w:ascii="MingLiU_HKSCS-ExtB" w:eastAsia="MingLiU_HKSCS-ExtB"/>
                <w:sz w:val="24"/>
              </w:rPr>
              <w:t>-5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6"/>
                <w:sz w:val="24"/>
              </w:rPr>
              <w:t>月 </w:t>
            </w:r>
            <w:r>
              <w:rPr>
                <w:rFonts w:ascii="MingLiU_HKSCS-ExtB" w:eastAsia="MingLiU_HKSCS-ExtB"/>
                <w:sz w:val="24"/>
              </w:rPr>
              <w:t>13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10"/>
                <w:sz w:val="24"/>
              </w:rPr>
              <w:t>日</w:t>
            </w:r>
          </w:p>
        </w:tc>
        <w:tc>
          <w:tcPr>
            <w:tcW w:w="2294" w:type="dxa"/>
          </w:tcPr>
          <w:p>
            <w:pPr>
              <w:pStyle w:val="TableParagraph"/>
              <w:spacing w:before="98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比赛成绩审核与会评</w:t>
            </w:r>
          </w:p>
        </w:tc>
        <w:tc>
          <w:tcPr>
            <w:tcW w:w="2268" w:type="dxa"/>
          </w:tcPr>
          <w:p>
            <w:pPr>
              <w:pStyle w:val="TableParagraph"/>
              <w:spacing w:line="319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专家、评委、仲裁委</w:t>
            </w:r>
          </w:p>
          <w:p>
            <w:pPr>
              <w:pStyle w:val="TableParagraph"/>
              <w:spacing w:line="301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员会、相关工作人员</w:t>
            </w:r>
          </w:p>
        </w:tc>
        <w:tc>
          <w:tcPr>
            <w:tcW w:w="1673" w:type="dxa"/>
          </w:tcPr>
          <w:p>
            <w:pPr>
              <w:pStyle w:val="TableParagraph"/>
              <w:spacing w:before="98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安庆师范大学</w:t>
            </w:r>
          </w:p>
        </w:tc>
        <w:tc>
          <w:tcPr>
            <w:tcW w:w="991" w:type="dxa"/>
          </w:tcPr>
          <w:p>
            <w:pPr>
              <w:pStyle w:val="TableParagraph"/>
              <w:spacing w:before="98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现场</w:t>
            </w:r>
          </w:p>
        </w:tc>
      </w:tr>
      <w:tr>
        <w:trPr>
          <w:trHeight w:val="616" w:hRule="atLeast"/>
        </w:trPr>
        <w:tc>
          <w:tcPr>
            <w:tcW w:w="1704" w:type="dxa"/>
          </w:tcPr>
          <w:p>
            <w:pPr>
              <w:pStyle w:val="TableParagraph"/>
              <w:spacing w:before="86"/>
              <w:ind w:left="9" w:right="2"/>
              <w:jc w:val="center"/>
              <w:rPr>
                <w:sz w:val="24"/>
              </w:rPr>
            </w:pPr>
            <w:r>
              <w:rPr>
                <w:rFonts w:ascii="MingLiU_HKSCS-ExtB" w:eastAsia="MingLiU_HKSCS-ExtB"/>
                <w:sz w:val="24"/>
              </w:rPr>
              <w:t>5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6"/>
                <w:sz w:val="24"/>
              </w:rPr>
              <w:t>月 </w:t>
            </w:r>
            <w:r>
              <w:rPr>
                <w:rFonts w:ascii="MingLiU_HKSCS-ExtB" w:eastAsia="MingLiU_HKSCS-ExtB"/>
                <w:sz w:val="24"/>
              </w:rPr>
              <w:t>17</w:t>
            </w:r>
            <w:r>
              <w:rPr>
                <w:rFonts w:ascii="MingLiU_HKSCS-ExtB" w:eastAsia="MingLiU_HKSCS-ExtB"/>
                <w:spacing w:val="-60"/>
                <w:sz w:val="24"/>
              </w:rPr>
              <w:t> </w:t>
            </w:r>
            <w:r>
              <w:rPr>
                <w:spacing w:val="-10"/>
                <w:sz w:val="24"/>
              </w:rPr>
              <w:t>日</w:t>
            </w:r>
          </w:p>
        </w:tc>
        <w:tc>
          <w:tcPr>
            <w:tcW w:w="2294" w:type="dxa"/>
          </w:tcPr>
          <w:p>
            <w:pPr>
              <w:pStyle w:val="TableParagraph"/>
              <w:spacing w:before="86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比赛成绩公示</w:t>
            </w:r>
          </w:p>
        </w:tc>
        <w:tc>
          <w:tcPr>
            <w:tcW w:w="2268" w:type="dxa"/>
          </w:tcPr>
          <w:p>
            <w:pPr>
              <w:pStyle w:val="TableParagraph"/>
              <w:spacing w:before="86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大赛秘书处</w:t>
            </w:r>
          </w:p>
        </w:tc>
        <w:tc>
          <w:tcPr>
            <w:tcW w:w="1673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before="86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线上</w:t>
            </w:r>
          </w:p>
        </w:tc>
      </w:tr>
    </w:tbl>
    <w:p>
      <w:pPr>
        <w:pStyle w:val="Heading1"/>
        <w:spacing w:before="507"/>
      </w:pPr>
      <w:r>
        <w:rPr>
          <w:spacing w:val="-2"/>
        </w:rPr>
        <w:t>五、竞赛内容</w:t>
      </w:r>
    </w:p>
    <w:p>
      <w:pPr>
        <w:pStyle w:val="BodyText"/>
        <w:spacing w:line="271" w:lineRule="auto" w:before="196"/>
        <w:ind w:right="379" w:firstLine="559"/>
      </w:pPr>
      <w:r>
        <w:rPr>
          <w:spacing w:val="-4"/>
        </w:rPr>
        <w:t>本届比赛类型以技能赛为主，采用线上比赛的方式，综合考察参</w:t>
      </w:r>
      <w:r>
        <w:rPr>
          <w:spacing w:val="-2"/>
        </w:rPr>
        <w:t>赛选手的工程设计和技术应用能力。</w:t>
      </w:r>
    </w:p>
    <w:p>
      <w:pPr>
        <w:pStyle w:val="BodyText"/>
        <w:spacing w:line="268" w:lineRule="auto"/>
        <w:ind w:right="379" w:firstLine="559"/>
        <w:rPr>
          <w:b/>
        </w:rPr>
      </w:pPr>
      <w:r>
        <w:rPr>
          <w:spacing w:val="-9"/>
        </w:rPr>
        <w:t>参赛选手需完成指定的技术任务，达到赛题和技能要求的各项功</w:t>
      </w:r>
      <w:r>
        <w:rPr>
          <w:spacing w:val="-6"/>
        </w:rPr>
        <w:t>能及指标，如代码、截图等。大赛共包括 </w:t>
      </w:r>
      <w:r>
        <w:rPr>
          <w:rFonts w:ascii="MingLiU_HKSCS-ExtB" w:hAnsi="MingLiU_HKSCS-ExtB" w:eastAsia="MingLiU_HKSCS-ExtB"/>
          <w:spacing w:val="-6"/>
        </w:rPr>
        <w:t>4</w:t>
      </w:r>
      <w:r>
        <w:rPr>
          <w:rFonts w:ascii="MingLiU_HKSCS-ExtB" w:hAnsi="MingLiU_HKSCS-ExtB" w:eastAsia="MingLiU_HKSCS-ExtB"/>
          <w:spacing w:val="-54"/>
        </w:rPr>
        <w:t> </w:t>
      </w:r>
      <w:r>
        <w:rPr>
          <w:spacing w:val="-6"/>
        </w:rPr>
        <w:t>个项目：</w:t>
      </w:r>
      <w:r>
        <w:rPr>
          <w:b/>
          <w:spacing w:val="-7"/>
        </w:rPr>
        <w:t>①计算机组成与</w:t>
      </w:r>
    </w:p>
    <w:p>
      <w:pPr>
        <w:spacing w:before="0"/>
        <w:ind w:left="383" w:right="0" w:firstLine="0"/>
        <w:jc w:val="left"/>
        <w:rPr>
          <w:sz w:val="28"/>
        </w:rPr>
      </w:pPr>
      <w:r>
        <w:rPr>
          <w:b/>
          <w:spacing w:val="-6"/>
          <w:sz w:val="28"/>
        </w:rPr>
        <w:t>设计</w:t>
      </w:r>
      <w:r>
        <w:rPr>
          <w:spacing w:val="-6"/>
          <w:sz w:val="28"/>
        </w:rPr>
        <w:t>（各校参赛队伍数不超过 </w:t>
      </w:r>
      <w:r>
        <w:rPr>
          <w:rFonts w:ascii="MingLiU_HKSCS-ExtB" w:hAnsi="MingLiU_HKSCS-ExtB" w:eastAsia="MingLiU_HKSCS-ExtB"/>
          <w:spacing w:val="-6"/>
          <w:sz w:val="28"/>
        </w:rPr>
        <w:t>6</w:t>
      </w:r>
      <w:r>
        <w:rPr>
          <w:rFonts w:ascii="MingLiU_HKSCS-ExtB" w:hAnsi="MingLiU_HKSCS-ExtB" w:eastAsia="MingLiU_HKSCS-ExtB"/>
          <w:spacing w:val="-54"/>
          <w:sz w:val="28"/>
        </w:rPr>
        <w:t> </w:t>
      </w:r>
      <w:r>
        <w:rPr>
          <w:spacing w:val="-6"/>
          <w:sz w:val="28"/>
        </w:rPr>
        <w:t>个队）</w:t>
      </w:r>
      <w:r>
        <w:rPr>
          <w:b/>
          <w:spacing w:val="-6"/>
          <w:sz w:val="28"/>
        </w:rPr>
        <w:t>、②工业互联网数智应用（</w:t>
      </w:r>
      <w:r>
        <w:rPr>
          <w:spacing w:val="-10"/>
          <w:sz w:val="28"/>
        </w:rPr>
        <w:t>各</w:t>
      </w:r>
    </w:p>
    <w:p>
      <w:pPr>
        <w:spacing w:line="268" w:lineRule="auto" w:before="63"/>
        <w:ind w:left="383" w:right="379" w:firstLine="0"/>
        <w:jc w:val="left"/>
        <w:rPr>
          <w:sz w:val="28"/>
        </w:rPr>
      </w:pPr>
      <w:r>
        <w:rPr>
          <w:spacing w:val="-6"/>
          <w:sz w:val="28"/>
        </w:rPr>
        <w:t>校参赛队伍数不超过 </w:t>
      </w:r>
      <w:r>
        <w:rPr>
          <w:rFonts w:ascii="MingLiU_HKSCS-ExtB" w:hAnsi="MingLiU_HKSCS-ExtB" w:eastAsia="MingLiU_HKSCS-ExtB"/>
          <w:spacing w:val="-4"/>
          <w:sz w:val="28"/>
        </w:rPr>
        <w:t>3</w:t>
      </w:r>
      <w:r>
        <w:rPr>
          <w:rFonts w:ascii="MingLiU_HKSCS-ExtB" w:hAnsi="MingLiU_HKSCS-ExtB" w:eastAsia="MingLiU_HKSCS-ExtB"/>
          <w:spacing w:val="-70"/>
          <w:sz w:val="28"/>
        </w:rPr>
        <w:t> </w:t>
      </w:r>
      <w:r>
        <w:rPr>
          <w:spacing w:val="-4"/>
          <w:sz w:val="28"/>
        </w:rPr>
        <w:t>个队</w:t>
      </w:r>
      <w:r>
        <w:rPr>
          <w:b/>
          <w:spacing w:val="-4"/>
          <w:sz w:val="28"/>
        </w:rPr>
        <w:t>）、③嵌入式系统智能硬件开发（</w:t>
      </w:r>
      <w:r>
        <w:rPr>
          <w:spacing w:val="-4"/>
          <w:sz w:val="28"/>
        </w:rPr>
        <w:t>各校参</w:t>
      </w:r>
      <w:r>
        <w:rPr>
          <w:spacing w:val="1"/>
          <w:sz w:val="28"/>
        </w:rPr>
        <w:t>赛队伍数不超过 </w:t>
      </w:r>
      <w:r>
        <w:rPr>
          <w:rFonts w:ascii="MingLiU_HKSCS-ExtB" w:hAnsi="MingLiU_HKSCS-ExtB" w:eastAsia="MingLiU_HKSCS-ExtB"/>
          <w:sz w:val="28"/>
        </w:rPr>
        <w:t>3</w:t>
      </w:r>
      <w:r>
        <w:rPr>
          <w:rFonts w:ascii="MingLiU_HKSCS-ExtB" w:hAnsi="MingLiU_HKSCS-ExtB" w:eastAsia="MingLiU_HKSCS-ExtB"/>
          <w:spacing w:val="-42"/>
          <w:sz w:val="28"/>
        </w:rPr>
        <w:t> </w:t>
      </w:r>
      <w:r>
        <w:rPr>
          <w:sz w:val="28"/>
        </w:rPr>
        <w:t>个</w:t>
      </w:r>
      <w:r>
        <w:rPr>
          <w:b/>
          <w:sz w:val="28"/>
        </w:rPr>
        <w:t>）、④</w:t>
      </w:r>
      <w:r>
        <w:rPr>
          <w:rFonts w:ascii="Arial" w:hAnsi="Arial" w:eastAsia="Arial"/>
          <w:b/>
          <w:sz w:val="28"/>
        </w:rPr>
        <w:t>AI</w:t>
      </w:r>
      <w:r>
        <w:rPr>
          <w:rFonts w:ascii="Arial" w:hAnsi="Arial" w:eastAsia="Arial"/>
          <w:b/>
          <w:spacing w:val="18"/>
          <w:sz w:val="28"/>
        </w:rPr>
        <w:t> </w:t>
      </w:r>
      <w:r>
        <w:rPr>
          <w:b/>
          <w:sz w:val="28"/>
        </w:rPr>
        <w:t>赋能嵌入式技术（</w:t>
      </w:r>
      <w:r>
        <w:rPr>
          <w:spacing w:val="-2"/>
          <w:sz w:val="28"/>
        </w:rPr>
        <w:t>各校参赛队伍数不</w:t>
      </w:r>
    </w:p>
    <w:p>
      <w:pPr>
        <w:spacing w:after="0" w:line="268" w:lineRule="auto"/>
        <w:jc w:val="left"/>
        <w:rPr>
          <w:sz w:val="28"/>
        </w:rPr>
        <w:sectPr>
          <w:pgSz w:w="11910" w:h="16840"/>
          <w:pgMar w:header="0" w:footer="971" w:top="1500" w:bottom="1160" w:left="1417" w:right="1417"/>
        </w:sectPr>
      </w:pPr>
    </w:p>
    <w:p>
      <w:pPr>
        <w:pStyle w:val="BodyText"/>
        <w:spacing w:line="271" w:lineRule="auto" w:before="16"/>
        <w:ind w:right="379"/>
        <w:jc w:val="both"/>
      </w:pPr>
      <w:r>
        <w:rPr>
          <w:spacing w:val="-5"/>
        </w:rPr>
        <w:t>超过 </w:t>
      </w:r>
      <w:r>
        <w:rPr>
          <w:rFonts w:ascii="MingLiU_HKSCS-ExtB" w:eastAsia="MingLiU_HKSCS-ExtB"/>
          <w:spacing w:val="-6"/>
        </w:rPr>
        <w:t>8</w:t>
      </w:r>
      <w:r>
        <w:rPr>
          <w:rFonts w:ascii="MingLiU_HKSCS-ExtB" w:eastAsia="MingLiU_HKSCS-ExtB"/>
          <w:spacing w:val="-29"/>
        </w:rPr>
        <w:t> </w:t>
      </w:r>
      <w:r>
        <w:rPr>
          <w:spacing w:val="-6"/>
        </w:rPr>
        <w:t>个</w:t>
      </w:r>
      <w:r>
        <w:rPr>
          <w:b/>
          <w:spacing w:val="-6"/>
        </w:rPr>
        <w:t>）。</w:t>
      </w:r>
      <w:r>
        <w:rPr>
          <w:spacing w:val="-6"/>
        </w:rPr>
        <w:t>技能赛主要体现参赛选手的工程实现能力、团队合作能</w:t>
      </w:r>
      <w:r>
        <w:rPr>
          <w:spacing w:val="-2"/>
        </w:rPr>
        <w:t>力、应变能力、技术应用水平和效果。</w:t>
      </w:r>
    </w:p>
    <w:p>
      <w:pPr>
        <w:pStyle w:val="BodyText"/>
        <w:spacing w:line="268" w:lineRule="auto"/>
        <w:ind w:right="379" w:firstLine="559"/>
        <w:jc w:val="both"/>
      </w:pPr>
      <w:r>
        <w:rPr>
          <w:spacing w:val="-10"/>
        </w:rPr>
        <w:t>比赛在安庆师范大学进行，参赛队员在所属学校设置的比赛场所</w:t>
      </w:r>
      <w:r>
        <w:rPr>
          <w:spacing w:val="-4"/>
        </w:rPr>
        <w:t>线上参加比赛。专家和评委按照各赛项的评分标准，在纪委和仲裁委</w:t>
      </w:r>
      <w:r>
        <w:rPr>
          <w:spacing w:val="-2"/>
        </w:rPr>
        <w:t>员会监督下，集中在安庆师范大学对各参赛队进行评分。</w:t>
      </w:r>
    </w:p>
    <w:p>
      <w:pPr>
        <w:pStyle w:val="Heading1"/>
        <w:spacing w:before="437"/>
      </w:pPr>
      <w:r>
        <w:rPr>
          <w:spacing w:val="-2"/>
        </w:rPr>
        <w:t>六、竞赛规则</w:t>
      </w:r>
    </w:p>
    <w:p>
      <w:pPr>
        <w:pStyle w:val="Heading2"/>
        <w:spacing w:before="170"/>
      </w:pPr>
      <w:r>
        <w:rPr>
          <w:spacing w:val="-2"/>
        </w:rPr>
        <w:t>（一）</w:t>
      </w:r>
      <w:r>
        <w:rPr>
          <w:spacing w:val="-4"/>
        </w:rPr>
        <w:t>报名资格</w:t>
      </w:r>
    </w:p>
    <w:p>
      <w:pPr>
        <w:pStyle w:val="BodyText"/>
        <w:spacing w:line="268" w:lineRule="auto" w:before="65"/>
        <w:ind w:right="240" w:firstLine="559"/>
      </w:pPr>
      <w:r>
        <w:rPr>
          <w:rFonts w:ascii="MingLiU_HKSCS-ExtB" w:eastAsia="MingLiU_HKSCS-ExtB"/>
          <w:spacing w:val="-4"/>
        </w:rPr>
        <w:t>1</w:t>
      </w:r>
      <w:r>
        <w:rPr>
          <w:spacing w:val="-4"/>
        </w:rPr>
        <w:t>、报名学生：全省各高等院校在校大学生（含高职高专、本科、</w:t>
      </w:r>
      <w:r>
        <w:rPr>
          <w:spacing w:val="-2"/>
        </w:rPr>
        <w:t>研究生），参赛选手不受性别、年龄、学历、国籍和民族限制。</w:t>
      </w:r>
    </w:p>
    <w:p>
      <w:pPr>
        <w:pStyle w:val="BodyText"/>
        <w:spacing w:before="3"/>
        <w:ind w:left="0" w:right="381"/>
        <w:jc w:val="right"/>
        <w:rPr>
          <w:rFonts w:ascii="MingLiU_HKSCS-ExtB" w:eastAsia="MingLiU_HKSCS-ExtB"/>
        </w:rPr>
      </w:pPr>
      <w:r>
        <w:rPr>
          <w:rFonts w:ascii="MingLiU_HKSCS-ExtB" w:eastAsia="MingLiU_HKSCS-ExtB"/>
        </w:rPr>
        <w:t>2</w:t>
      </w:r>
      <w:r>
        <w:rPr/>
        <w:t>、报名队伍：每支参赛队队员不超过 </w:t>
      </w:r>
      <w:r>
        <w:rPr>
          <w:rFonts w:ascii="MingLiU_HKSCS-ExtB" w:eastAsia="MingLiU_HKSCS-ExtB"/>
        </w:rPr>
        <w:t>3</w:t>
      </w:r>
      <w:r>
        <w:rPr>
          <w:rFonts w:ascii="MingLiU_HKSCS-ExtB" w:eastAsia="MingLiU_HKSCS-ExtB"/>
          <w:spacing w:val="-41"/>
        </w:rPr>
        <w:t> </w:t>
      </w:r>
      <w:r>
        <w:rPr>
          <w:spacing w:val="1"/>
        </w:rPr>
        <w:t>人，指导教师不超过 </w:t>
      </w:r>
      <w:r>
        <w:rPr>
          <w:rFonts w:ascii="MingLiU_HKSCS-ExtB" w:eastAsia="MingLiU_HKSCS-ExtB"/>
          <w:spacing w:val="-10"/>
        </w:rPr>
        <w:t>2</w:t>
      </w:r>
    </w:p>
    <w:p>
      <w:pPr>
        <w:pStyle w:val="BodyText"/>
        <w:spacing w:before="64"/>
        <w:ind w:left="0" w:right="379"/>
        <w:jc w:val="right"/>
      </w:pPr>
      <w:r>
        <w:rPr>
          <w:spacing w:val="-6"/>
        </w:rPr>
        <w:t>人；并要求每一位教师作为第一、第二指导老师分别不超过 </w:t>
      </w:r>
      <w:r>
        <w:rPr>
          <w:rFonts w:ascii="MingLiU_HKSCS-ExtB" w:eastAsia="MingLiU_HKSCS-ExtB"/>
          <w:spacing w:val="-6"/>
        </w:rPr>
        <w:t>2</w:t>
      </w:r>
      <w:r>
        <w:rPr>
          <w:rFonts w:ascii="MingLiU_HKSCS-ExtB" w:eastAsia="MingLiU_HKSCS-ExtB"/>
          <w:spacing w:val="-51"/>
        </w:rPr>
        <w:t> </w:t>
      </w:r>
      <w:r>
        <w:rPr>
          <w:spacing w:val="-6"/>
        </w:rPr>
        <w:t>项（</w:t>
      </w:r>
      <w:r>
        <w:rPr>
          <w:spacing w:val="-10"/>
        </w:rPr>
        <w:t>总</w:t>
      </w:r>
    </w:p>
    <w:p>
      <w:pPr>
        <w:pStyle w:val="BodyText"/>
        <w:spacing w:before="63"/>
        <w:ind w:left="0" w:right="379"/>
        <w:jc w:val="right"/>
      </w:pPr>
      <w:r>
        <w:rPr>
          <w:spacing w:val="-5"/>
        </w:rPr>
        <w:t>数不得超过 </w:t>
      </w:r>
      <w:r>
        <w:rPr>
          <w:rFonts w:ascii="MingLiU_HKSCS-ExtB" w:eastAsia="MingLiU_HKSCS-ExtB"/>
          <w:spacing w:val="-6"/>
        </w:rPr>
        <w:t>4</w:t>
      </w:r>
      <w:r>
        <w:rPr>
          <w:rFonts w:ascii="MingLiU_HKSCS-ExtB" w:eastAsia="MingLiU_HKSCS-ExtB"/>
          <w:spacing w:val="-51"/>
        </w:rPr>
        <w:t> </w:t>
      </w:r>
      <w:r>
        <w:rPr>
          <w:spacing w:val="-6"/>
        </w:rPr>
        <w:t>项）</w:t>
      </w:r>
      <w:r>
        <w:rPr>
          <w:spacing w:val="-7"/>
        </w:rPr>
        <w:t>；每一位学生只能在一个队伍中参加比赛，参赛项</w:t>
      </w:r>
    </w:p>
    <w:p>
      <w:pPr>
        <w:pStyle w:val="BodyText"/>
        <w:spacing w:line="271" w:lineRule="auto" w:before="64"/>
        <w:ind w:right="379"/>
        <w:jc w:val="both"/>
      </w:pPr>
      <w:r>
        <w:rPr>
          <w:spacing w:val="-5"/>
        </w:rPr>
        <w:t>目不超过 </w:t>
      </w:r>
      <w:r>
        <w:rPr>
          <w:rFonts w:ascii="MingLiU_HKSCS-ExtB" w:eastAsia="MingLiU_HKSCS-ExtB"/>
          <w:spacing w:val="-6"/>
        </w:rPr>
        <w:t>1</w:t>
      </w:r>
      <w:r>
        <w:rPr>
          <w:rFonts w:ascii="MingLiU_HKSCS-ExtB" w:eastAsia="MingLiU_HKSCS-ExtB"/>
          <w:spacing w:val="-29"/>
        </w:rPr>
        <w:t> </w:t>
      </w:r>
      <w:r>
        <w:rPr>
          <w:spacing w:val="-6"/>
        </w:rPr>
        <w:t>项。为保证竞赛公平公正，组委会、专家委员会、仲裁委</w:t>
      </w:r>
      <w:r>
        <w:rPr>
          <w:spacing w:val="-2"/>
        </w:rPr>
        <w:t>员会、秘书处和相关工作成员不得担任指导教师。</w:t>
      </w:r>
    </w:p>
    <w:p>
      <w:pPr>
        <w:pStyle w:val="Heading2"/>
        <w:spacing w:before="305"/>
      </w:pPr>
      <w:r>
        <w:rPr>
          <w:spacing w:val="-2"/>
        </w:rPr>
        <w:t>（二）</w:t>
      </w:r>
      <w:r>
        <w:rPr>
          <w:spacing w:val="-4"/>
        </w:rPr>
        <w:t>报名要求</w:t>
      </w:r>
    </w:p>
    <w:p>
      <w:pPr>
        <w:pStyle w:val="BodyText"/>
        <w:spacing w:line="268" w:lineRule="auto" w:before="65"/>
        <w:ind w:right="240" w:firstLine="561"/>
        <w:rPr>
          <w:b/>
        </w:rPr>
      </w:pPr>
      <w:r>
        <w:rPr>
          <w:rFonts w:ascii="MingLiU_HKSCS-ExtB" w:hAnsi="MingLiU_HKSCS-ExtB" w:eastAsia="MingLiU_HKSCS-ExtB"/>
          <w:spacing w:val="-2"/>
        </w:rPr>
        <w:t>1</w:t>
      </w:r>
      <w:r>
        <w:rPr>
          <w:spacing w:val="-2"/>
        </w:rPr>
        <w:t>、以学校为单位报名，不接受个人名义报名。每个学校参加技</w:t>
      </w:r>
      <w:r>
        <w:rPr>
          <w:spacing w:val="-7"/>
        </w:rPr>
        <w:t>能赛单个赛项的队伍数由各赛项具体规定，为保证竞赛设备控制程序</w:t>
      </w:r>
      <w:r>
        <w:rPr>
          <w:spacing w:val="-2"/>
        </w:rPr>
        <w:t>的独立完成和竞赛的公平、公正，要求所有参赛队伍的设备必须是专</w:t>
      </w:r>
      <w:r>
        <w:rPr>
          <w:spacing w:val="-19"/>
        </w:rPr>
        <w:t>属设备，任何两支队伍之间不能混用、借用器材或设备，否则以抄袭、</w:t>
      </w:r>
      <w:r>
        <w:rPr/>
        <w:t>作弊论处。（</w:t>
      </w:r>
      <w:r>
        <w:rPr>
          <w:b/>
        </w:rPr>
        <w:t>注</w:t>
      </w:r>
      <w:r>
        <w:rPr/>
        <w:t>：</w:t>
      </w:r>
      <w:r>
        <w:rPr>
          <w:b/>
        </w:rPr>
        <w:t>①计算机组成与设计</w:t>
      </w:r>
      <w:r>
        <w:rPr>
          <w:spacing w:val="-1"/>
        </w:rPr>
        <w:t>各校参赛队伍数不超过 </w:t>
      </w:r>
      <w:r>
        <w:rPr>
          <w:rFonts w:ascii="MingLiU_HKSCS-ExtB" w:hAnsi="MingLiU_HKSCS-ExtB" w:eastAsia="MingLiU_HKSCS-ExtB"/>
        </w:rPr>
        <w:t>6</w:t>
      </w:r>
      <w:r>
        <w:rPr>
          <w:rFonts w:ascii="MingLiU_HKSCS-ExtB" w:hAnsi="MingLiU_HKSCS-ExtB" w:eastAsia="MingLiU_HKSCS-ExtB"/>
          <w:spacing w:val="-63"/>
        </w:rPr>
        <w:t> </w:t>
      </w:r>
      <w:r>
        <w:rPr/>
        <w:t>个</w:t>
      </w:r>
      <w:r>
        <w:rPr>
          <w:b/>
        </w:rPr>
        <w:t>、</w:t>
      </w:r>
    </w:p>
    <w:p>
      <w:pPr>
        <w:spacing w:line="271" w:lineRule="auto" w:before="9"/>
        <w:ind w:left="383" w:right="379" w:firstLine="0"/>
        <w:jc w:val="left"/>
        <w:rPr>
          <w:sz w:val="28"/>
        </w:rPr>
      </w:pPr>
      <w:r>
        <w:rPr>
          <w:b/>
          <w:sz w:val="28"/>
        </w:rPr>
        <w:t>②工业互联网数智应用</w:t>
      </w:r>
      <w:r>
        <w:rPr>
          <w:spacing w:val="-2"/>
          <w:sz w:val="28"/>
        </w:rPr>
        <w:t>各校参赛队伍数不超过 </w:t>
      </w:r>
      <w:r>
        <w:rPr>
          <w:rFonts w:ascii="MingLiU_HKSCS-ExtB" w:hAnsi="MingLiU_HKSCS-ExtB" w:eastAsia="MingLiU_HKSCS-ExtB"/>
          <w:sz w:val="28"/>
        </w:rPr>
        <w:t>3</w:t>
      </w:r>
      <w:r>
        <w:rPr>
          <w:rFonts w:ascii="MingLiU_HKSCS-ExtB" w:hAnsi="MingLiU_HKSCS-ExtB" w:eastAsia="MingLiU_HKSCS-ExtB"/>
          <w:spacing w:val="-70"/>
          <w:sz w:val="28"/>
        </w:rPr>
        <w:t> </w:t>
      </w:r>
      <w:r>
        <w:rPr>
          <w:spacing w:val="-49"/>
          <w:sz w:val="28"/>
        </w:rPr>
        <w:t>个、</w:t>
      </w:r>
      <w:r>
        <w:rPr>
          <w:b/>
          <w:sz w:val="28"/>
        </w:rPr>
        <w:t>③嵌入式系统智能硬件开发</w:t>
      </w:r>
      <w:r>
        <w:rPr>
          <w:sz w:val="28"/>
        </w:rPr>
        <w:t>各校参赛队伍数不超过 </w:t>
      </w:r>
      <w:r>
        <w:rPr>
          <w:rFonts w:ascii="MingLiU_HKSCS-ExtB" w:hAnsi="MingLiU_HKSCS-ExtB" w:eastAsia="MingLiU_HKSCS-ExtB"/>
          <w:sz w:val="28"/>
        </w:rPr>
        <w:t>3</w:t>
      </w:r>
      <w:r>
        <w:rPr>
          <w:rFonts w:ascii="MingLiU_HKSCS-ExtB" w:hAnsi="MingLiU_HKSCS-ExtB" w:eastAsia="MingLiU_HKSCS-ExtB"/>
          <w:spacing w:val="-44"/>
          <w:sz w:val="28"/>
        </w:rPr>
        <w:t> </w:t>
      </w:r>
      <w:r>
        <w:rPr>
          <w:sz w:val="28"/>
        </w:rPr>
        <w:t>个</w:t>
      </w:r>
      <w:r>
        <w:rPr>
          <w:b/>
          <w:sz w:val="28"/>
        </w:rPr>
        <w:t>、④</w:t>
      </w:r>
      <w:r>
        <w:rPr>
          <w:rFonts w:ascii="Arial" w:hAnsi="Arial" w:eastAsia="Arial"/>
          <w:b/>
          <w:sz w:val="28"/>
        </w:rPr>
        <w:t>AI</w:t>
      </w:r>
      <w:r>
        <w:rPr>
          <w:rFonts w:ascii="Arial" w:hAnsi="Arial" w:eastAsia="Arial"/>
          <w:b/>
          <w:spacing w:val="18"/>
          <w:sz w:val="28"/>
        </w:rPr>
        <w:t> </w:t>
      </w:r>
      <w:r>
        <w:rPr>
          <w:b/>
          <w:sz w:val="28"/>
        </w:rPr>
        <w:t>赋能嵌入式技术</w:t>
      </w:r>
      <w:r>
        <w:rPr>
          <w:spacing w:val="-5"/>
          <w:sz w:val="28"/>
        </w:rPr>
        <w:t>各校</w:t>
      </w:r>
    </w:p>
    <w:p>
      <w:pPr>
        <w:spacing w:after="0" w:line="271" w:lineRule="auto"/>
        <w:jc w:val="left"/>
        <w:rPr>
          <w:sz w:val="28"/>
        </w:rPr>
        <w:sectPr>
          <w:pgSz w:w="11910" w:h="16840"/>
          <w:pgMar w:header="0" w:footer="971" w:top="1500" w:bottom="1160" w:left="1417" w:right="1417"/>
        </w:sectPr>
      </w:pPr>
    </w:p>
    <w:p>
      <w:pPr>
        <w:pStyle w:val="BodyText"/>
        <w:spacing w:before="16"/>
        <w:rPr>
          <w:b/>
        </w:rPr>
      </w:pPr>
      <w:r>
        <w:rPr>
          <w:spacing w:val="-4"/>
        </w:rPr>
        <w:t>参赛队伍数不超过 </w:t>
      </w:r>
      <w:r>
        <w:rPr>
          <w:rFonts w:ascii="MingLiU_HKSCS-ExtB" w:eastAsia="MingLiU_HKSCS-ExtB"/>
          <w:spacing w:val="-2"/>
        </w:rPr>
        <w:t>8</w:t>
      </w:r>
      <w:r>
        <w:rPr>
          <w:rFonts w:ascii="MingLiU_HKSCS-ExtB" w:eastAsia="MingLiU_HKSCS-ExtB"/>
          <w:spacing w:val="-66"/>
        </w:rPr>
        <w:t> </w:t>
      </w:r>
      <w:r>
        <w:rPr>
          <w:spacing w:val="-2"/>
        </w:rPr>
        <w:t>个）</w:t>
      </w:r>
      <w:r>
        <w:rPr>
          <w:b/>
          <w:spacing w:val="-10"/>
        </w:rPr>
        <w:t>。</w:t>
      </w:r>
    </w:p>
    <w:p>
      <w:pPr>
        <w:spacing w:line="278" w:lineRule="auto" w:before="81"/>
        <w:ind w:left="383" w:right="240" w:firstLine="561"/>
        <w:jc w:val="left"/>
        <w:rPr>
          <w:sz w:val="28"/>
        </w:rPr>
      </w:pPr>
      <w:r>
        <w:rPr>
          <w:rFonts w:ascii="MingLiU_HKSCS-ExtB" w:eastAsia="MingLiU_HKSCS-ExtB"/>
          <w:spacing w:val="-2"/>
          <w:sz w:val="28"/>
        </w:rPr>
        <w:t>2</w:t>
      </w:r>
      <w:r>
        <w:rPr>
          <w:spacing w:val="-2"/>
          <w:sz w:val="28"/>
        </w:rPr>
        <w:t>、</w:t>
      </w:r>
      <w:r>
        <w:rPr>
          <w:b/>
          <w:spacing w:val="-2"/>
          <w:sz w:val="28"/>
        </w:rPr>
        <w:t>报名截止时间：</w:t>
      </w:r>
      <w:r>
        <w:rPr>
          <w:rFonts w:ascii="Arial" w:eastAsia="Arial"/>
          <w:b/>
          <w:spacing w:val="-2"/>
          <w:sz w:val="28"/>
        </w:rPr>
        <w:t>2026</w:t>
      </w:r>
      <w:r>
        <w:rPr>
          <w:rFonts w:ascii="Arial" w:eastAsia="Arial"/>
          <w:b/>
          <w:spacing w:val="-18"/>
          <w:sz w:val="28"/>
        </w:rPr>
        <w:t> </w:t>
      </w:r>
      <w:r>
        <w:rPr>
          <w:b/>
          <w:spacing w:val="-11"/>
          <w:sz w:val="28"/>
        </w:rPr>
        <w:t>年 </w:t>
      </w:r>
      <w:r>
        <w:rPr>
          <w:rFonts w:ascii="Arial" w:eastAsia="Arial"/>
          <w:b/>
          <w:spacing w:val="-2"/>
          <w:sz w:val="28"/>
        </w:rPr>
        <w:t>4</w:t>
      </w:r>
      <w:r>
        <w:rPr>
          <w:rFonts w:ascii="Arial" w:eastAsia="Arial"/>
          <w:b/>
          <w:spacing w:val="-17"/>
          <w:sz w:val="28"/>
        </w:rPr>
        <w:t> </w:t>
      </w:r>
      <w:r>
        <w:rPr>
          <w:b/>
          <w:spacing w:val="-11"/>
          <w:sz w:val="28"/>
        </w:rPr>
        <w:t>月 </w:t>
      </w:r>
      <w:r>
        <w:rPr>
          <w:rFonts w:ascii="Arial" w:eastAsia="Arial"/>
          <w:b/>
          <w:spacing w:val="-2"/>
          <w:sz w:val="28"/>
        </w:rPr>
        <w:t>20</w:t>
      </w:r>
      <w:r>
        <w:rPr>
          <w:rFonts w:ascii="Arial" w:eastAsia="Arial"/>
          <w:b/>
          <w:spacing w:val="-18"/>
          <w:sz w:val="28"/>
        </w:rPr>
        <w:t> </w:t>
      </w:r>
      <w:r>
        <w:rPr>
          <w:b/>
          <w:spacing w:val="-10"/>
          <w:sz w:val="28"/>
        </w:rPr>
        <w:t>日 </w:t>
      </w:r>
      <w:r>
        <w:rPr>
          <w:rFonts w:ascii="Arial" w:eastAsia="Arial"/>
          <w:b/>
          <w:spacing w:val="-2"/>
          <w:sz w:val="28"/>
        </w:rPr>
        <w:t>24:00</w:t>
      </w:r>
      <w:r>
        <w:rPr>
          <w:b/>
          <w:spacing w:val="-2"/>
          <w:sz w:val="28"/>
        </w:rPr>
        <w:t>，</w:t>
      </w:r>
      <w:r>
        <w:rPr>
          <w:spacing w:val="-2"/>
          <w:sz w:val="28"/>
        </w:rPr>
        <w:t>通过发送邮件完成报名。各参赛高校指定一名教师作为领队，并作为赛事联系人，将本</w:t>
      </w:r>
      <w:r>
        <w:rPr>
          <w:spacing w:val="-6"/>
          <w:sz w:val="28"/>
        </w:rPr>
        <w:t>校选拔的参赛项目报名汇总表电子版连同签字盖章扫描件</w:t>
      </w:r>
      <w:r>
        <w:rPr>
          <w:sz w:val="28"/>
        </w:rPr>
        <w:t>（见</w:t>
      </w:r>
      <w:r>
        <w:rPr>
          <w:b/>
          <w:spacing w:val="14"/>
          <w:sz w:val="28"/>
        </w:rPr>
        <w:t>附件</w:t>
      </w:r>
      <w:r>
        <w:rPr>
          <w:rFonts w:ascii="Arial" w:eastAsia="Arial"/>
          <w:b/>
          <w:sz w:val="28"/>
        </w:rPr>
        <w:t>1</w:t>
      </w:r>
      <w:r>
        <w:rPr>
          <w:sz w:val="28"/>
        </w:rPr>
        <w:t>，</w:t>
      </w:r>
      <w:r>
        <w:rPr>
          <w:b/>
          <w:color w:val="FF0000"/>
          <w:spacing w:val="-2"/>
          <w:sz w:val="28"/>
        </w:rPr>
        <w:t>参赛队伍信息务必准确填写！教务或双创部门签盖公章！</w:t>
      </w:r>
      <w:r>
        <w:rPr>
          <w:spacing w:val="-2"/>
          <w:sz w:val="28"/>
        </w:rPr>
        <w:t>）、参赛学生承诺书扫描件（参赛学生签字）、指导教师承诺书扫描件（指导教师签字），放在一个文件夹中，以学校命名，压缩后通过邮件发送至</w:t>
      </w:r>
      <w:r>
        <w:rPr>
          <w:b/>
          <w:spacing w:val="-9"/>
          <w:sz w:val="28"/>
        </w:rPr>
        <w:t>邮箱 </w:t>
      </w:r>
      <w:hyperlink r:id="rId6">
        <w:r>
          <w:rPr>
            <w:rFonts w:ascii="Arial" w:eastAsia="Arial"/>
            <w:b/>
            <w:spacing w:val="-4"/>
            <w:sz w:val="28"/>
          </w:rPr>
          <w:t>ahes_contest@163.com</w:t>
        </w:r>
      </w:hyperlink>
      <w:r>
        <w:rPr>
          <w:spacing w:val="-4"/>
          <w:sz w:val="28"/>
        </w:rPr>
        <w:t>，保存好原件以备查。各校赛事联系人</w:t>
      </w:r>
      <w:r>
        <w:rPr>
          <w:spacing w:val="-2"/>
          <w:sz w:val="28"/>
        </w:rPr>
        <w:t>统一负责本校报名工作，报名信息务必仔细核对，后续获奖证书严格按照报名表进行编排。赛前如因特殊情况需要变更报名信息的，须将修改材料（教务或双创部门盖章报名表）提交组委会审议。</w:t>
      </w:r>
    </w:p>
    <w:p>
      <w:pPr>
        <w:pStyle w:val="Heading2"/>
        <w:spacing w:before="292"/>
      </w:pPr>
      <w:r>
        <w:rPr>
          <w:spacing w:val="-2"/>
        </w:rPr>
        <w:t>（三）</w:t>
      </w:r>
      <w:r>
        <w:rPr>
          <w:spacing w:val="-4"/>
        </w:rPr>
        <w:t>赛前准备</w:t>
      </w:r>
    </w:p>
    <w:p>
      <w:pPr>
        <w:pStyle w:val="BodyText"/>
        <w:spacing w:before="45"/>
        <w:ind w:left="949"/>
      </w:pPr>
      <w:r>
        <w:rPr>
          <w:rFonts w:ascii="MingLiU_HKSCS-ExtB" w:eastAsia="MingLiU_HKSCS-ExtB"/>
          <w:spacing w:val="-2"/>
        </w:rPr>
        <w:t>1</w:t>
      </w:r>
      <w:r>
        <w:rPr>
          <w:spacing w:val="-4"/>
        </w:rPr>
        <w:t>、赛前培训</w:t>
      </w:r>
    </w:p>
    <w:p>
      <w:pPr>
        <w:pStyle w:val="BodyText"/>
        <w:spacing w:line="261" w:lineRule="auto" w:before="43"/>
        <w:ind w:right="379" w:firstLine="564"/>
        <w:jc w:val="both"/>
      </w:pPr>
      <w:r>
        <w:rPr>
          <w:spacing w:val="-8"/>
        </w:rPr>
        <w:t>对工作人员及指导教师培训。培训内容包括赛场布置、比赛规则</w:t>
      </w:r>
      <w:r>
        <w:rPr>
          <w:spacing w:val="-4"/>
        </w:rPr>
        <w:t>及注意事项等。技能赛赛前技能培训是对参赛学生、参赛学校相关人员或指导教师进行的技术培训，分别按照大赛组委会安排的时间、地</w:t>
      </w:r>
      <w:r>
        <w:rPr>
          <w:spacing w:val="-2"/>
        </w:rPr>
        <w:t>点进行，请密切关注大赛群通知。</w:t>
      </w:r>
    </w:p>
    <w:p>
      <w:pPr>
        <w:pStyle w:val="BodyText"/>
        <w:spacing w:line="505" w:lineRule="exact"/>
        <w:ind w:left="947"/>
      </w:pPr>
      <w:r>
        <w:rPr>
          <w:rFonts w:ascii="MingLiU_HKSCS-ExtB" w:eastAsia="MingLiU_HKSCS-ExtB"/>
          <w:spacing w:val="-2"/>
        </w:rPr>
        <w:t>2</w:t>
      </w:r>
      <w:r>
        <w:rPr>
          <w:spacing w:val="-4"/>
        </w:rPr>
        <w:t>、技术测试</w:t>
      </w:r>
    </w:p>
    <w:p>
      <w:pPr>
        <w:pStyle w:val="BodyText"/>
        <w:spacing w:line="259" w:lineRule="auto" w:before="46"/>
        <w:ind w:right="377" w:firstLine="559"/>
      </w:pPr>
      <w:r>
        <w:rPr>
          <w:spacing w:val="-2"/>
        </w:rPr>
        <w:t>各参赛学校需对准备的赛场提前做好竞赛设备的软硬件以及网</w:t>
      </w:r>
      <w:r>
        <w:rPr>
          <w:spacing w:val="-2"/>
        </w:rPr>
        <w:t>络测试，熟悉相关流程，确保大赛顺利进行。</w:t>
      </w:r>
    </w:p>
    <w:p>
      <w:pPr>
        <w:pStyle w:val="BodyText"/>
        <w:spacing w:line="261" w:lineRule="auto" w:before="3"/>
        <w:ind w:right="377" w:firstLine="559"/>
      </w:pPr>
      <w:r>
        <w:rPr>
          <w:rFonts w:ascii="MingLiU_HKSCS-ExtB" w:eastAsia="MingLiU_HKSCS-ExtB"/>
          <w:spacing w:val="-2"/>
        </w:rPr>
        <w:t>3</w:t>
      </w:r>
      <w:r>
        <w:rPr>
          <w:spacing w:val="-2"/>
        </w:rPr>
        <w:t>、大赛的专家、裁判和大赛组委会及大赛秘书处成员均需签署承诺书交组委会。</w:t>
      </w:r>
    </w:p>
    <w:p>
      <w:pPr>
        <w:pStyle w:val="BodyText"/>
        <w:spacing w:after="0" w:line="261" w:lineRule="auto"/>
        <w:sectPr>
          <w:pgSz w:w="11910" w:h="16840"/>
          <w:pgMar w:header="0" w:footer="971" w:top="1500" w:bottom="1160" w:left="1417" w:right="1417"/>
        </w:sectPr>
      </w:pPr>
    </w:p>
    <w:p>
      <w:pPr>
        <w:spacing w:line="548" w:lineRule="exact" w:before="0"/>
        <w:ind w:left="383" w:right="0" w:firstLine="0"/>
        <w:jc w:val="left"/>
        <w:rPr>
          <w:b/>
          <w:sz w:val="30"/>
        </w:rPr>
      </w:pPr>
      <w:r>
        <w:rPr>
          <w:b/>
          <w:spacing w:val="-2"/>
          <w:sz w:val="28"/>
        </w:rPr>
        <w:t>（四）</w:t>
      </w:r>
      <w:r>
        <w:rPr>
          <w:b/>
          <w:spacing w:val="-4"/>
          <w:sz w:val="30"/>
        </w:rPr>
        <w:t>竞赛环境</w:t>
      </w:r>
    </w:p>
    <w:p>
      <w:pPr>
        <w:pStyle w:val="BodyText"/>
        <w:spacing w:line="259" w:lineRule="auto" w:before="152"/>
        <w:ind w:right="379" w:firstLine="559"/>
        <w:jc w:val="both"/>
      </w:pPr>
      <w:r>
        <w:rPr>
          <w:spacing w:val="-4"/>
        </w:rPr>
        <w:t>赛场环境要求：各参赛学校需为技能赛准备竞赛场地（所需设备和场地要求详见</w:t>
      </w:r>
      <w:r>
        <w:rPr>
          <w:b/>
          <w:spacing w:val="-9"/>
        </w:rPr>
        <w:t>附件 </w:t>
      </w:r>
      <w:r>
        <w:rPr>
          <w:rFonts w:ascii="Arial" w:eastAsia="Arial"/>
          <w:b/>
          <w:spacing w:val="-4"/>
        </w:rPr>
        <w:t>3</w:t>
      </w:r>
      <w:r>
        <w:rPr>
          <w:rFonts w:ascii="Arial" w:eastAsia="Arial"/>
          <w:b/>
          <w:spacing w:val="-16"/>
        </w:rPr>
        <w:t> </w:t>
      </w:r>
      <w:r>
        <w:rPr>
          <w:spacing w:val="-4"/>
        </w:rPr>
        <w:t>所列各个赛项的具体要求），供参加技能赛的选手参加比赛，竞赛场地需按要求准备好多个摄像头，摄像头需覆盖所有参赛学生，以方便监督比赛过程，比赛要求全程录像并保存以备</w:t>
      </w:r>
      <w:r>
        <w:rPr>
          <w:spacing w:val="-6"/>
        </w:rPr>
        <w:t>查。</w:t>
      </w:r>
    </w:p>
    <w:p>
      <w:pPr>
        <w:pStyle w:val="Heading2"/>
        <w:spacing w:before="326"/>
      </w:pPr>
      <w:r>
        <w:rPr>
          <w:spacing w:val="-2"/>
        </w:rPr>
        <w:t>（五）</w:t>
      </w:r>
      <w:r>
        <w:rPr>
          <w:spacing w:val="-4"/>
        </w:rPr>
        <w:t>比赛期间</w:t>
      </w:r>
    </w:p>
    <w:p>
      <w:pPr>
        <w:pStyle w:val="BodyText"/>
        <w:spacing w:before="43"/>
        <w:ind w:left="942"/>
      </w:pPr>
      <w:r>
        <w:rPr>
          <w:rFonts w:ascii="MingLiU_HKSCS-ExtB" w:eastAsia="MingLiU_HKSCS-ExtB"/>
          <w:spacing w:val="-2"/>
        </w:rPr>
        <w:t>1</w:t>
      </w:r>
      <w:r>
        <w:rPr>
          <w:spacing w:val="-3"/>
        </w:rPr>
        <w:t>、过程监控。竞赛过程中，监控系统全程监控参赛人员行为。</w:t>
      </w:r>
    </w:p>
    <w:p>
      <w:pPr>
        <w:pStyle w:val="BodyText"/>
        <w:spacing w:line="261" w:lineRule="auto" w:before="43"/>
        <w:ind w:right="377" w:firstLine="559"/>
      </w:pPr>
      <w:r>
        <w:rPr>
          <w:rFonts w:ascii="MingLiU_HKSCS-ExtB" w:eastAsia="MingLiU_HKSCS-ExtB"/>
          <w:spacing w:val="-2"/>
        </w:rPr>
        <w:t>2</w:t>
      </w:r>
      <w:r>
        <w:rPr>
          <w:spacing w:val="-2"/>
        </w:rPr>
        <w:t>、各参赛人员需提前进入大赛确定的各个赛场，并按要求携带必要的器材、设备等参加比赛。</w:t>
      </w:r>
    </w:p>
    <w:p>
      <w:pPr>
        <w:pStyle w:val="BodyText"/>
        <w:spacing w:line="259" w:lineRule="auto"/>
        <w:ind w:right="377" w:firstLine="559"/>
      </w:pPr>
      <w:r>
        <w:rPr>
          <w:rFonts w:ascii="MingLiU_HKSCS-ExtB" w:eastAsia="MingLiU_HKSCS-ExtB"/>
          <w:spacing w:val="-2"/>
        </w:rPr>
        <w:t>3</w:t>
      </w:r>
      <w:r>
        <w:rPr>
          <w:spacing w:val="-2"/>
        </w:rPr>
        <w:t>、竞赛中出现任何问题，参赛人员应及时向工作人员反映，以求得解决。如仍未解决，可要求工作人员尽快向组委会反映。</w:t>
      </w:r>
    </w:p>
    <w:p>
      <w:pPr>
        <w:pStyle w:val="BodyText"/>
        <w:spacing w:before="2"/>
        <w:ind w:left="942"/>
      </w:pPr>
      <w:r>
        <w:rPr>
          <w:rFonts w:ascii="MingLiU_HKSCS-ExtB" w:eastAsia="MingLiU_HKSCS-ExtB"/>
          <w:spacing w:val="-2"/>
        </w:rPr>
        <w:t>4</w:t>
      </w:r>
      <w:r>
        <w:rPr>
          <w:spacing w:val="-3"/>
        </w:rPr>
        <w:t>、竞赛结束后，各赛场保存录制的竞赛过程视频，事后备查。</w:t>
      </w:r>
    </w:p>
    <w:p>
      <w:pPr>
        <w:pStyle w:val="Heading2"/>
        <w:spacing w:before="355"/>
      </w:pPr>
      <w:r>
        <w:rPr>
          <w:spacing w:val="-2"/>
        </w:rPr>
        <w:t>（六）</w:t>
      </w:r>
      <w:r>
        <w:rPr>
          <w:spacing w:val="-4"/>
        </w:rPr>
        <w:t>成绩公布</w:t>
      </w:r>
    </w:p>
    <w:p>
      <w:pPr>
        <w:pStyle w:val="BodyText"/>
        <w:spacing w:line="261" w:lineRule="auto" w:before="43"/>
        <w:ind w:right="379" w:firstLine="559"/>
      </w:pPr>
      <w:r>
        <w:rPr>
          <w:spacing w:val="-1"/>
        </w:rPr>
        <w:t>竞赛结果将由大赛网站在 </w:t>
      </w:r>
      <w:r>
        <w:rPr>
          <w:rFonts w:ascii="MingLiU_HKSCS-ExtB" w:eastAsia="MingLiU_HKSCS-ExtB"/>
        </w:rPr>
        <w:t>5</w:t>
      </w:r>
      <w:r>
        <w:rPr>
          <w:rFonts w:ascii="MingLiU_HKSCS-ExtB" w:eastAsia="MingLiU_HKSCS-ExtB"/>
          <w:spacing w:val="-67"/>
        </w:rPr>
        <w:t> </w:t>
      </w:r>
      <w:r>
        <w:rPr>
          <w:spacing w:val="-6"/>
        </w:rPr>
        <w:t>月 </w:t>
      </w:r>
      <w:r>
        <w:rPr>
          <w:rFonts w:ascii="MingLiU_HKSCS-ExtB" w:eastAsia="MingLiU_HKSCS-ExtB"/>
        </w:rPr>
        <w:t>17</w:t>
      </w:r>
      <w:r>
        <w:rPr>
          <w:rFonts w:ascii="MingLiU_HKSCS-ExtB" w:eastAsia="MingLiU_HKSCS-ExtB"/>
          <w:spacing w:val="-67"/>
        </w:rPr>
        <w:t> </w:t>
      </w:r>
      <w:r>
        <w:rPr/>
        <w:t>日进行公示，无异议后获奖名</w:t>
      </w:r>
      <w:r>
        <w:rPr>
          <w:spacing w:val="-2"/>
        </w:rPr>
        <w:t>单将在学会网站正式公布，证书发放和颁奖时间另行通知。</w:t>
      </w:r>
    </w:p>
    <w:p>
      <w:pPr>
        <w:pStyle w:val="Heading1"/>
        <w:spacing w:before="423"/>
      </w:pPr>
      <w:r>
        <w:rPr>
          <w:spacing w:val="-2"/>
        </w:rPr>
        <w:t>七、赛题与成绩评定</w:t>
      </w:r>
    </w:p>
    <w:p>
      <w:pPr>
        <w:pStyle w:val="Heading2"/>
        <w:spacing w:before="148"/>
      </w:pPr>
      <w:r>
        <w:rPr>
          <w:spacing w:val="-2"/>
        </w:rPr>
        <w:t>（一）</w:t>
      </w:r>
      <w:r>
        <w:rPr>
          <w:spacing w:val="-4"/>
        </w:rPr>
        <w:t>竞赛赛题</w:t>
      </w:r>
    </w:p>
    <w:p>
      <w:pPr>
        <w:pStyle w:val="BodyText"/>
        <w:spacing w:line="268" w:lineRule="auto" w:before="53"/>
        <w:ind w:right="240" w:firstLine="559"/>
      </w:pPr>
      <w:r>
        <w:rPr>
          <w:spacing w:val="-8"/>
        </w:rPr>
        <w:t>技能赛的各个项目以及比赛细则等，均聘请第三方按照该项目评</w:t>
      </w:r>
      <w:r>
        <w:rPr>
          <w:spacing w:val="-20"/>
        </w:rPr>
        <w:t>分标准拟出赛题，并形成赛题库。竞赛前，从赛题库中随机抽取题目，</w:t>
      </w:r>
      <w:r>
        <w:rPr/>
        <w:t>通过专家组审核后形成统一赛题。在比赛前 </w:t>
      </w:r>
      <w:r>
        <w:rPr>
          <w:rFonts w:ascii="MingLiU_HKSCS-ExtB" w:eastAsia="MingLiU_HKSCS-ExtB"/>
        </w:rPr>
        <w:t>15</w:t>
      </w:r>
      <w:r>
        <w:rPr>
          <w:rFonts w:ascii="MingLiU_HKSCS-ExtB" w:eastAsia="MingLiU_HKSCS-ExtB"/>
          <w:spacing w:val="-24"/>
        </w:rPr>
        <w:t> </w:t>
      </w:r>
      <w:r>
        <w:rPr/>
        <w:t>天公开赛题的样题，</w:t>
      </w:r>
      <w:r>
        <w:rPr>
          <w:spacing w:val="-2"/>
        </w:rPr>
        <w:t>并通知参赛学校赛事联系人。</w:t>
      </w:r>
    </w:p>
    <w:p>
      <w:pPr>
        <w:pStyle w:val="BodyText"/>
        <w:spacing w:after="0" w:line="268" w:lineRule="auto"/>
        <w:sectPr>
          <w:pgSz w:w="11910" w:h="16840"/>
          <w:pgMar w:header="0" w:footer="971" w:top="1480" w:bottom="1160" w:left="1417" w:right="1417"/>
        </w:sectPr>
      </w:pPr>
    </w:p>
    <w:p>
      <w:pPr>
        <w:pStyle w:val="Heading2"/>
        <w:spacing w:before="8"/>
      </w:pPr>
      <w:r>
        <w:rPr>
          <w:spacing w:val="-2"/>
        </w:rPr>
        <w:t>（二）</w:t>
      </w:r>
      <w:r>
        <w:rPr>
          <w:spacing w:val="-4"/>
        </w:rPr>
        <w:t>评分标准</w:t>
      </w:r>
    </w:p>
    <w:p>
      <w:pPr>
        <w:pStyle w:val="BodyText"/>
        <w:spacing w:line="261" w:lineRule="auto" w:before="35"/>
        <w:ind w:right="379" w:firstLine="559"/>
      </w:pPr>
      <w:r>
        <w:rPr>
          <w:spacing w:val="-12"/>
        </w:rPr>
        <w:t>各个赛项竞赛时，评委在专家委员会指导下可根据评分标准在比</w:t>
      </w:r>
      <w:r>
        <w:rPr>
          <w:spacing w:val="-2"/>
        </w:rPr>
        <w:t>赛前制订详细的评分细则，并根据评分细则进行评分。</w:t>
      </w:r>
    </w:p>
    <w:p>
      <w:pPr>
        <w:spacing w:before="308"/>
        <w:ind w:left="944" w:right="0" w:firstLine="0"/>
        <w:jc w:val="left"/>
        <w:rPr>
          <w:rFonts w:ascii="Arial" w:eastAsia="Arial"/>
          <w:b/>
          <w:sz w:val="28"/>
        </w:rPr>
      </w:pPr>
      <w:r>
        <w:rPr>
          <w:rFonts w:ascii="MingLiU_HKSCS-ExtB" w:eastAsia="MingLiU_HKSCS-ExtB"/>
          <w:sz w:val="28"/>
        </w:rPr>
        <w:t>1</w:t>
      </w:r>
      <w:r>
        <w:rPr>
          <w:sz w:val="28"/>
        </w:rPr>
        <w:t>．</w:t>
      </w:r>
      <w:r>
        <w:rPr>
          <w:b/>
          <w:spacing w:val="4"/>
          <w:sz w:val="28"/>
        </w:rPr>
        <w:t>计算机组成与设计评分标准 </w:t>
      </w:r>
      <w:r>
        <w:rPr>
          <w:rFonts w:ascii="Arial" w:eastAsia="Arial"/>
          <w:b/>
          <w:sz w:val="28"/>
        </w:rPr>
        <w:t>(</w:t>
      </w:r>
      <w:r>
        <w:rPr>
          <w:b/>
          <w:spacing w:val="-3"/>
          <w:sz w:val="28"/>
        </w:rPr>
        <w:t>详见附件 </w:t>
      </w:r>
      <w:r>
        <w:rPr>
          <w:rFonts w:ascii="Arial" w:eastAsia="Arial"/>
          <w:b/>
          <w:sz w:val="28"/>
        </w:rPr>
        <w:t>4</w:t>
      </w:r>
      <w:r>
        <w:rPr>
          <w:rFonts w:ascii="Arial" w:eastAsia="Arial"/>
          <w:b/>
          <w:spacing w:val="26"/>
          <w:sz w:val="28"/>
        </w:rPr>
        <w:t> )</w:t>
      </w:r>
    </w:p>
    <w:p>
      <w:pPr>
        <w:pStyle w:val="BodyText"/>
        <w:spacing w:before="48"/>
        <w:ind w:left="0"/>
        <w:rPr>
          <w:rFonts w:ascii="Arial"/>
          <w:b/>
          <w:sz w:val="20"/>
        </w:rPr>
      </w:pPr>
    </w:p>
    <w:tbl>
      <w:tblPr>
        <w:tblW w:w="0" w:type="auto"/>
        <w:jc w:val="left"/>
        <w:tblInd w:w="4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2"/>
        <w:gridCol w:w="1812"/>
        <w:gridCol w:w="5256"/>
      </w:tblGrid>
      <w:tr>
        <w:trPr>
          <w:trHeight w:val="623" w:hRule="atLeast"/>
        </w:trPr>
        <w:tc>
          <w:tcPr>
            <w:tcW w:w="1202" w:type="dxa"/>
          </w:tcPr>
          <w:p>
            <w:pPr>
              <w:pStyle w:val="TableParagraph"/>
              <w:spacing w:before="118"/>
              <w:ind w:left="179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评分类别</w:t>
            </w:r>
          </w:p>
        </w:tc>
        <w:tc>
          <w:tcPr>
            <w:tcW w:w="1812" w:type="dxa"/>
          </w:tcPr>
          <w:p>
            <w:pPr>
              <w:pStyle w:val="TableParagraph"/>
              <w:spacing w:before="118"/>
              <w:ind w:left="27" w:right="12"/>
              <w:jc w:val="center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评分项目</w:t>
            </w:r>
          </w:p>
        </w:tc>
        <w:tc>
          <w:tcPr>
            <w:tcW w:w="5256" w:type="dxa"/>
          </w:tcPr>
          <w:p>
            <w:pPr>
              <w:pStyle w:val="TableParagraph"/>
              <w:spacing w:before="118"/>
              <w:ind w:left="13"/>
              <w:jc w:val="center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评分内容</w:t>
            </w:r>
          </w:p>
        </w:tc>
      </w:tr>
      <w:tr>
        <w:trPr>
          <w:trHeight w:val="1249" w:hRule="atLeast"/>
        </w:trPr>
        <w:tc>
          <w:tcPr>
            <w:tcW w:w="1202" w:type="dxa"/>
          </w:tcPr>
          <w:p>
            <w:pPr>
              <w:pStyle w:val="TableParagraph"/>
              <w:spacing w:before="118"/>
              <w:ind w:left="179"/>
              <w:rPr>
                <w:sz w:val="21"/>
              </w:rPr>
            </w:pPr>
            <w:r>
              <w:rPr>
                <w:spacing w:val="-7"/>
                <w:sz w:val="21"/>
              </w:rPr>
              <w:t>功能测试</w:t>
            </w:r>
          </w:p>
          <w:p>
            <w:pPr>
              <w:pStyle w:val="TableParagraph"/>
              <w:spacing w:before="237"/>
              <w:ind w:left="153"/>
              <w:rPr>
                <w:sz w:val="21"/>
              </w:rPr>
            </w:pPr>
            <w:r>
              <w:rPr>
                <w:spacing w:val="-2"/>
                <w:sz w:val="21"/>
              </w:rPr>
              <w:t>（</w:t>
            </w:r>
            <w:r>
              <w:rPr>
                <w:rFonts w:ascii="MingLiU_HKSCS-ExtB" w:eastAsia="MingLiU_HKSCS-ExtB"/>
                <w:spacing w:val="-2"/>
                <w:sz w:val="21"/>
              </w:rPr>
              <w:t>40</w:t>
            </w:r>
            <w:r>
              <w:rPr>
                <w:rFonts w:ascii="MingLiU_HKSCS-ExtB" w:eastAsia="MingLiU_HKSCS-ExtB"/>
                <w:spacing w:val="-54"/>
                <w:sz w:val="21"/>
              </w:rPr>
              <w:t> </w:t>
            </w:r>
            <w:r>
              <w:rPr>
                <w:spacing w:val="-2"/>
                <w:sz w:val="21"/>
              </w:rPr>
              <w:t>分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1812" w:type="dxa"/>
          </w:tcPr>
          <w:p>
            <w:pPr>
              <w:pStyle w:val="TableParagraph"/>
              <w:spacing w:before="188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1"/>
              <w:ind w:left="27" w:right="12"/>
              <w:jc w:val="center"/>
              <w:rPr>
                <w:sz w:val="21"/>
              </w:rPr>
            </w:pPr>
            <w:r>
              <w:rPr>
                <w:spacing w:val="-7"/>
                <w:sz w:val="21"/>
              </w:rPr>
              <w:t>测试样例</w:t>
            </w:r>
          </w:p>
        </w:tc>
        <w:tc>
          <w:tcPr>
            <w:tcW w:w="5256" w:type="dxa"/>
          </w:tcPr>
          <w:p>
            <w:pPr>
              <w:pStyle w:val="TableParagraph"/>
              <w:spacing w:before="44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line="344" w:lineRule="exact" w:before="1"/>
              <w:ind w:left="67"/>
              <w:rPr>
                <w:sz w:val="21"/>
              </w:rPr>
            </w:pPr>
            <w:r>
              <w:rPr>
                <w:spacing w:val="-3"/>
                <w:sz w:val="21"/>
              </w:rPr>
              <w:t>按照测试样例通过数进行评分，得分为：</w:t>
            </w:r>
          </w:p>
          <w:p>
            <w:pPr>
              <w:pStyle w:val="TableParagraph"/>
              <w:spacing w:line="344" w:lineRule="exact"/>
              <w:ind w:left="1077"/>
              <w:rPr>
                <w:sz w:val="21"/>
              </w:rPr>
            </w:pPr>
            <w:r>
              <w:rPr>
                <w:sz w:val="21"/>
              </w:rPr>
              <w:t>（通过样例数</w:t>
            </w:r>
            <w:r>
              <w:rPr>
                <w:rFonts w:ascii="MingLiU_HKSCS-ExtB" w:eastAsia="MingLiU_HKSCS-ExtB"/>
                <w:sz w:val="21"/>
              </w:rPr>
              <w:t>/</w:t>
            </w:r>
            <w:r>
              <w:rPr>
                <w:sz w:val="21"/>
              </w:rPr>
              <w:t>总样例数）</w:t>
            </w:r>
            <w:r>
              <w:rPr>
                <w:rFonts w:ascii="MingLiU_HKSCS-ExtB" w:eastAsia="MingLiU_HKSCS-ExtB"/>
                <w:sz w:val="21"/>
              </w:rPr>
              <w:t>*</w:t>
            </w:r>
            <w:r>
              <w:rPr>
                <w:rFonts w:ascii="MingLiU_HKSCS-ExtB" w:eastAsia="MingLiU_HKSCS-ExtB"/>
                <w:spacing w:val="-21"/>
                <w:sz w:val="21"/>
              </w:rPr>
              <w:t> </w:t>
            </w:r>
            <w:r>
              <w:rPr>
                <w:rFonts w:ascii="MingLiU_HKSCS-ExtB" w:eastAsia="MingLiU_HKSCS-ExtB"/>
                <w:sz w:val="21"/>
              </w:rPr>
              <w:t>40</w:t>
            </w:r>
            <w:r>
              <w:rPr>
                <w:rFonts w:ascii="MingLiU_HKSCS-ExtB" w:eastAsia="MingLiU_HKSCS-ExtB"/>
                <w:spacing w:val="-54"/>
                <w:sz w:val="21"/>
              </w:rPr>
              <w:t> </w:t>
            </w:r>
            <w:r>
              <w:rPr>
                <w:spacing w:val="-10"/>
                <w:sz w:val="21"/>
              </w:rPr>
              <w:t>分</w:t>
            </w:r>
          </w:p>
        </w:tc>
      </w:tr>
      <w:tr>
        <w:trPr>
          <w:trHeight w:val="1247" w:hRule="atLeast"/>
        </w:trPr>
        <w:tc>
          <w:tcPr>
            <w:tcW w:w="1202" w:type="dxa"/>
          </w:tcPr>
          <w:p>
            <w:pPr>
              <w:pStyle w:val="TableParagraph"/>
              <w:spacing w:before="116"/>
              <w:ind w:left="179"/>
              <w:rPr>
                <w:sz w:val="21"/>
              </w:rPr>
            </w:pPr>
            <w:r>
              <w:rPr>
                <w:spacing w:val="-7"/>
                <w:sz w:val="21"/>
              </w:rPr>
              <w:t>性能测试</w:t>
            </w:r>
          </w:p>
          <w:p>
            <w:pPr>
              <w:pStyle w:val="TableParagraph"/>
              <w:spacing w:before="237"/>
              <w:ind w:left="153"/>
              <w:rPr>
                <w:sz w:val="21"/>
              </w:rPr>
            </w:pPr>
            <w:r>
              <w:rPr>
                <w:spacing w:val="-2"/>
                <w:sz w:val="21"/>
              </w:rPr>
              <w:t>（</w:t>
            </w:r>
            <w:r>
              <w:rPr>
                <w:rFonts w:ascii="MingLiU_HKSCS-ExtB" w:eastAsia="MingLiU_HKSCS-ExtB"/>
                <w:spacing w:val="-2"/>
                <w:sz w:val="21"/>
              </w:rPr>
              <w:t>40</w:t>
            </w:r>
            <w:r>
              <w:rPr>
                <w:rFonts w:ascii="MingLiU_HKSCS-ExtB" w:eastAsia="MingLiU_HKSCS-ExtB"/>
                <w:spacing w:val="-54"/>
                <w:sz w:val="21"/>
              </w:rPr>
              <w:t> </w:t>
            </w:r>
            <w:r>
              <w:rPr>
                <w:spacing w:val="-2"/>
                <w:sz w:val="21"/>
              </w:rPr>
              <w:t>分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1812" w:type="dxa"/>
          </w:tcPr>
          <w:p>
            <w:pPr>
              <w:pStyle w:val="TableParagraph"/>
              <w:spacing w:before="186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27" w:right="12"/>
              <w:jc w:val="center"/>
              <w:rPr>
                <w:sz w:val="21"/>
              </w:rPr>
            </w:pPr>
            <w:r>
              <w:rPr>
                <w:spacing w:val="-7"/>
                <w:sz w:val="21"/>
              </w:rPr>
              <w:t>测试时长</w:t>
            </w:r>
          </w:p>
        </w:tc>
        <w:tc>
          <w:tcPr>
            <w:tcW w:w="5256" w:type="dxa"/>
          </w:tcPr>
          <w:p>
            <w:pPr>
              <w:pStyle w:val="TableParagraph"/>
              <w:spacing w:line="187" w:lineRule="auto" w:before="47"/>
              <w:ind w:left="105" w:right="90"/>
              <w:rPr>
                <w:sz w:val="21"/>
              </w:rPr>
            </w:pPr>
            <w:r>
              <w:rPr>
                <w:spacing w:val="-2"/>
                <w:sz w:val="21"/>
              </w:rPr>
              <w:t>基准测试程序未正确执行，不得分。执行时间最小者的</w:t>
            </w:r>
            <w:r>
              <w:rPr>
                <w:spacing w:val="2"/>
                <w:sz w:val="21"/>
              </w:rPr>
              <w:t>性能测试分值被定义为 </w:t>
            </w:r>
            <w:r>
              <w:rPr>
                <w:rFonts w:ascii="MingLiU_HKSCS-ExtB" w:eastAsia="MingLiU_HKSCS-ExtB"/>
                <w:sz w:val="21"/>
              </w:rPr>
              <w:t>40</w:t>
            </w:r>
            <w:r>
              <w:rPr>
                <w:rFonts w:ascii="MingLiU_HKSCS-ExtB" w:eastAsia="MingLiU_HKSCS-ExtB"/>
                <w:spacing w:val="-20"/>
                <w:sz w:val="21"/>
              </w:rPr>
              <w:t> </w:t>
            </w:r>
            <w:r>
              <w:rPr>
                <w:spacing w:val="-1"/>
                <w:sz w:val="21"/>
              </w:rPr>
              <w:t>分，最大者的性能测试分值</w:t>
            </w:r>
          </w:p>
          <w:p>
            <w:pPr>
              <w:pStyle w:val="TableParagraph"/>
              <w:spacing w:line="279" w:lineRule="exact"/>
              <w:ind w:left="105"/>
              <w:rPr>
                <w:rFonts w:ascii="MingLiU_HKSCS-ExtB" w:eastAsia="MingLiU_HKSCS-ExtB"/>
                <w:sz w:val="21"/>
              </w:rPr>
            </w:pPr>
            <w:r>
              <w:rPr>
                <w:spacing w:val="5"/>
                <w:sz w:val="21"/>
              </w:rPr>
              <w:t>被定义为 </w:t>
            </w:r>
            <w:r>
              <w:rPr>
                <w:rFonts w:ascii="MingLiU_HKSCS-ExtB" w:eastAsia="MingLiU_HKSCS-ExtB"/>
                <w:sz w:val="21"/>
              </w:rPr>
              <w:t>1</w:t>
            </w:r>
            <w:r>
              <w:rPr>
                <w:rFonts w:ascii="MingLiU_HKSCS-ExtB" w:eastAsia="MingLiU_HKSCS-ExtB"/>
                <w:spacing w:val="-18"/>
                <w:sz w:val="21"/>
              </w:rPr>
              <w:t> </w:t>
            </w:r>
            <w:r>
              <w:rPr>
                <w:spacing w:val="-9"/>
                <w:sz w:val="21"/>
              </w:rPr>
              <w:t>分；其余各选手成绩按照时间映射到</w:t>
            </w:r>
            <w:r>
              <w:rPr>
                <w:rFonts w:ascii="MingLiU_HKSCS-ExtB" w:eastAsia="MingLiU_HKSCS-ExtB"/>
                <w:spacing w:val="-2"/>
                <w:sz w:val="21"/>
              </w:rPr>
              <w:t>[1,40]</w:t>
            </w:r>
          </w:p>
          <w:p>
            <w:pPr>
              <w:pStyle w:val="TableParagraph"/>
              <w:spacing w:line="297" w:lineRule="exact"/>
              <w:ind w:left="105"/>
              <w:rPr>
                <w:sz w:val="21"/>
              </w:rPr>
            </w:pPr>
            <w:r>
              <w:rPr>
                <w:spacing w:val="-3"/>
                <w:sz w:val="21"/>
              </w:rPr>
              <w:t>区间，为最终得分。</w:t>
            </w:r>
          </w:p>
        </w:tc>
      </w:tr>
      <w:tr>
        <w:trPr>
          <w:trHeight w:val="623" w:hRule="atLeast"/>
        </w:trPr>
        <w:tc>
          <w:tcPr>
            <w:tcW w:w="1202" w:type="dxa"/>
            <w:vMerge w:val="restart"/>
          </w:tcPr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235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179"/>
              <w:rPr>
                <w:sz w:val="21"/>
              </w:rPr>
            </w:pPr>
            <w:r>
              <w:rPr>
                <w:spacing w:val="-7"/>
                <w:sz w:val="21"/>
              </w:rPr>
              <w:t>设计报告</w:t>
            </w:r>
          </w:p>
          <w:p>
            <w:pPr>
              <w:pStyle w:val="TableParagraph"/>
              <w:spacing w:before="237"/>
              <w:ind w:left="153"/>
              <w:rPr>
                <w:sz w:val="21"/>
              </w:rPr>
            </w:pPr>
            <w:r>
              <w:rPr>
                <w:spacing w:val="-2"/>
                <w:sz w:val="21"/>
              </w:rPr>
              <w:t>（</w:t>
            </w:r>
            <w:r>
              <w:rPr>
                <w:rFonts w:ascii="MingLiU_HKSCS-ExtB" w:eastAsia="MingLiU_HKSCS-ExtB"/>
                <w:spacing w:val="-2"/>
                <w:sz w:val="21"/>
              </w:rPr>
              <w:t>20</w:t>
            </w:r>
            <w:r>
              <w:rPr>
                <w:rFonts w:ascii="MingLiU_HKSCS-ExtB" w:eastAsia="MingLiU_HKSCS-ExtB"/>
                <w:spacing w:val="-54"/>
                <w:sz w:val="21"/>
              </w:rPr>
              <w:t> </w:t>
            </w:r>
            <w:r>
              <w:rPr>
                <w:spacing w:val="-2"/>
                <w:sz w:val="21"/>
              </w:rPr>
              <w:t>分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1812" w:type="dxa"/>
          </w:tcPr>
          <w:p>
            <w:pPr>
              <w:pStyle w:val="TableParagraph"/>
              <w:spacing w:before="118"/>
              <w:ind w:left="27"/>
              <w:jc w:val="center"/>
              <w:rPr>
                <w:sz w:val="21"/>
              </w:rPr>
            </w:pPr>
            <w:r>
              <w:rPr>
                <w:spacing w:val="-16"/>
                <w:sz w:val="21"/>
              </w:rPr>
              <w:t>方案论证</w:t>
            </w:r>
          </w:p>
        </w:tc>
        <w:tc>
          <w:tcPr>
            <w:tcW w:w="5256" w:type="dxa"/>
          </w:tcPr>
          <w:p>
            <w:pPr>
              <w:pStyle w:val="TableParagraph"/>
              <w:spacing w:before="118"/>
              <w:ind w:left="105"/>
              <w:rPr>
                <w:sz w:val="21"/>
              </w:rPr>
            </w:pPr>
            <w:r>
              <w:rPr>
                <w:spacing w:val="-14"/>
                <w:sz w:val="21"/>
              </w:rPr>
              <w:t>比较与选择，方案描述。（</w:t>
            </w:r>
            <w:r>
              <w:rPr>
                <w:rFonts w:ascii="MingLiU_HKSCS-ExtB" w:eastAsia="MingLiU_HKSCS-ExtB"/>
                <w:spacing w:val="-14"/>
                <w:sz w:val="21"/>
              </w:rPr>
              <w:t>5</w:t>
            </w:r>
            <w:r>
              <w:rPr>
                <w:rFonts w:ascii="MingLiU_HKSCS-ExtB" w:eastAsia="MingLiU_HKSCS-ExtB"/>
                <w:spacing w:val="-45"/>
                <w:sz w:val="21"/>
              </w:rPr>
              <w:t> </w:t>
            </w:r>
            <w:r>
              <w:rPr>
                <w:spacing w:val="-14"/>
                <w:sz w:val="21"/>
              </w:rPr>
              <w:t>分）</w:t>
            </w:r>
          </w:p>
        </w:tc>
      </w:tr>
      <w:tr>
        <w:trPr>
          <w:trHeight w:val="625" w:hRule="atLeast"/>
        </w:trPr>
        <w:tc>
          <w:tcPr>
            <w:tcW w:w="12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</w:tcPr>
          <w:p>
            <w:pPr>
              <w:pStyle w:val="TableParagraph"/>
              <w:spacing w:before="118"/>
              <w:ind w:left="27"/>
              <w:jc w:val="center"/>
              <w:rPr>
                <w:sz w:val="21"/>
              </w:rPr>
            </w:pPr>
            <w:r>
              <w:rPr>
                <w:spacing w:val="-14"/>
                <w:sz w:val="21"/>
              </w:rPr>
              <w:t>结构与程序设计</w:t>
            </w:r>
          </w:p>
        </w:tc>
        <w:tc>
          <w:tcPr>
            <w:tcW w:w="5256" w:type="dxa"/>
          </w:tcPr>
          <w:p>
            <w:pPr>
              <w:pStyle w:val="TableParagraph"/>
              <w:spacing w:before="118"/>
              <w:ind w:left="105"/>
              <w:rPr>
                <w:sz w:val="21"/>
              </w:rPr>
            </w:pPr>
            <w:r>
              <w:rPr>
                <w:spacing w:val="-14"/>
                <w:sz w:val="21"/>
              </w:rPr>
              <w:t>系统组成与结构图，流程图（</w:t>
            </w:r>
            <w:r>
              <w:rPr>
                <w:rFonts w:ascii="MingLiU_HKSCS-ExtB" w:eastAsia="MingLiU_HKSCS-ExtB"/>
                <w:spacing w:val="-14"/>
                <w:sz w:val="21"/>
              </w:rPr>
              <w:t>5</w:t>
            </w:r>
            <w:r>
              <w:rPr>
                <w:rFonts w:ascii="MingLiU_HKSCS-ExtB" w:eastAsia="MingLiU_HKSCS-ExtB"/>
                <w:spacing w:val="-46"/>
                <w:sz w:val="21"/>
              </w:rPr>
              <w:t> </w:t>
            </w:r>
            <w:r>
              <w:rPr>
                <w:spacing w:val="-14"/>
                <w:sz w:val="21"/>
              </w:rPr>
              <w:t>分）</w:t>
            </w:r>
          </w:p>
        </w:tc>
      </w:tr>
      <w:tr>
        <w:trPr>
          <w:trHeight w:val="623" w:hRule="atLeast"/>
        </w:trPr>
        <w:tc>
          <w:tcPr>
            <w:tcW w:w="12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</w:tcPr>
          <w:p>
            <w:pPr>
              <w:pStyle w:val="TableParagraph"/>
              <w:spacing w:before="116"/>
              <w:ind w:left="14" w:right="-29"/>
              <w:jc w:val="center"/>
              <w:rPr>
                <w:sz w:val="21"/>
              </w:rPr>
            </w:pPr>
            <w:r>
              <w:rPr>
                <w:spacing w:val="-14"/>
                <w:sz w:val="21"/>
              </w:rPr>
              <w:t>测试方案与测试结果</w:t>
            </w:r>
          </w:p>
        </w:tc>
        <w:tc>
          <w:tcPr>
            <w:tcW w:w="5256" w:type="dxa"/>
          </w:tcPr>
          <w:p>
            <w:pPr>
              <w:pStyle w:val="TableParagraph"/>
              <w:spacing w:before="116"/>
              <w:ind w:left="105"/>
              <w:rPr>
                <w:sz w:val="21"/>
              </w:rPr>
            </w:pPr>
            <w:r>
              <w:rPr>
                <w:spacing w:val="-14"/>
                <w:sz w:val="21"/>
              </w:rPr>
              <w:t>测试结果完整性，测试结果分析。（</w:t>
            </w:r>
            <w:r>
              <w:rPr>
                <w:rFonts w:ascii="MingLiU_HKSCS-ExtB" w:eastAsia="MingLiU_HKSCS-ExtB"/>
                <w:spacing w:val="-14"/>
                <w:sz w:val="21"/>
              </w:rPr>
              <w:t>5</w:t>
            </w:r>
            <w:r>
              <w:rPr>
                <w:rFonts w:ascii="MingLiU_HKSCS-ExtB" w:eastAsia="MingLiU_HKSCS-ExtB"/>
                <w:spacing w:val="-43"/>
                <w:sz w:val="21"/>
              </w:rPr>
              <w:t> </w:t>
            </w:r>
            <w:r>
              <w:rPr>
                <w:spacing w:val="-14"/>
                <w:sz w:val="21"/>
              </w:rPr>
              <w:t>分）</w:t>
            </w:r>
          </w:p>
        </w:tc>
      </w:tr>
      <w:tr>
        <w:trPr>
          <w:trHeight w:val="522" w:hRule="atLeast"/>
        </w:trPr>
        <w:tc>
          <w:tcPr>
            <w:tcW w:w="12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</w:tcPr>
          <w:p>
            <w:pPr>
              <w:pStyle w:val="TableParagraph"/>
              <w:spacing w:before="65"/>
              <w:ind w:left="27"/>
              <w:jc w:val="center"/>
              <w:rPr>
                <w:sz w:val="21"/>
              </w:rPr>
            </w:pPr>
            <w:r>
              <w:rPr>
                <w:spacing w:val="-14"/>
                <w:sz w:val="21"/>
              </w:rPr>
              <w:t>报告结构及规范性</w:t>
            </w:r>
          </w:p>
        </w:tc>
        <w:tc>
          <w:tcPr>
            <w:tcW w:w="5256" w:type="dxa"/>
          </w:tcPr>
          <w:p>
            <w:pPr>
              <w:pStyle w:val="TableParagraph"/>
              <w:spacing w:before="65"/>
              <w:ind w:left="105"/>
              <w:rPr>
                <w:sz w:val="21"/>
              </w:rPr>
            </w:pPr>
            <w:r>
              <w:rPr>
                <w:spacing w:val="-14"/>
                <w:sz w:val="21"/>
              </w:rPr>
              <w:t>摘要、正文结构规范，图表的完整性与准确性。（</w:t>
            </w:r>
            <w:r>
              <w:rPr>
                <w:rFonts w:ascii="MingLiU_HKSCS-ExtB" w:eastAsia="MingLiU_HKSCS-ExtB"/>
                <w:spacing w:val="-14"/>
                <w:sz w:val="21"/>
              </w:rPr>
              <w:t>5</w:t>
            </w:r>
            <w:r>
              <w:rPr>
                <w:rFonts w:ascii="MingLiU_HKSCS-ExtB" w:eastAsia="MingLiU_HKSCS-ExtB"/>
                <w:spacing w:val="-41"/>
                <w:sz w:val="21"/>
              </w:rPr>
              <w:t> </w:t>
            </w:r>
            <w:r>
              <w:rPr>
                <w:spacing w:val="-14"/>
                <w:sz w:val="21"/>
              </w:rPr>
              <w:t>分）</w:t>
            </w:r>
          </w:p>
        </w:tc>
      </w:tr>
    </w:tbl>
    <w:p>
      <w:pPr>
        <w:tabs>
          <w:tab w:pos="5283" w:val="left" w:leader="none"/>
        </w:tabs>
        <w:spacing w:before="294"/>
        <w:ind w:left="944" w:right="0" w:firstLine="0"/>
        <w:jc w:val="left"/>
        <w:rPr>
          <w:rFonts w:ascii="Arial" w:eastAsia="Arial"/>
          <w:b/>
          <w:sz w:val="28"/>
        </w:rPr>
      </w:pPr>
      <w:r>
        <w:rPr>
          <w:rFonts w:ascii="MingLiU_HKSCS-ExtB" w:eastAsia="MingLiU_HKSCS-ExtB"/>
          <w:spacing w:val="-2"/>
          <w:sz w:val="28"/>
        </w:rPr>
        <w:t>2</w:t>
      </w:r>
      <w:r>
        <w:rPr>
          <w:spacing w:val="-2"/>
          <w:sz w:val="28"/>
        </w:rPr>
        <w:t>、</w:t>
      </w:r>
      <w:r>
        <w:rPr>
          <w:b/>
          <w:spacing w:val="-2"/>
          <w:sz w:val="28"/>
        </w:rPr>
        <w:t>工业互联网数智应用评分标</w:t>
      </w:r>
      <w:r>
        <w:rPr>
          <w:b/>
          <w:spacing w:val="-10"/>
          <w:sz w:val="28"/>
        </w:rPr>
        <w:t>准</w:t>
      </w:r>
      <w:r>
        <w:rPr>
          <w:b/>
          <w:sz w:val="28"/>
        </w:rPr>
        <w:tab/>
      </w:r>
      <w:r>
        <w:rPr>
          <w:rFonts w:ascii="Arial" w:eastAsia="Arial"/>
          <w:b/>
          <w:spacing w:val="-2"/>
          <w:w w:val="120"/>
          <w:sz w:val="28"/>
        </w:rPr>
        <w:t>(</w:t>
      </w:r>
      <w:r>
        <w:rPr>
          <w:b/>
          <w:spacing w:val="-2"/>
          <w:w w:val="105"/>
          <w:sz w:val="28"/>
        </w:rPr>
        <w:t>详见附件</w:t>
      </w:r>
      <w:r>
        <w:rPr>
          <w:b/>
          <w:spacing w:val="-20"/>
          <w:w w:val="105"/>
          <w:sz w:val="28"/>
        </w:rPr>
        <w:t> </w:t>
      </w:r>
      <w:r>
        <w:rPr>
          <w:rFonts w:ascii="Arial" w:eastAsia="Arial"/>
          <w:b/>
          <w:spacing w:val="-2"/>
          <w:w w:val="105"/>
          <w:sz w:val="28"/>
        </w:rPr>
        <w:t>5</w:t>
      </w:r>
      <w:r>
        <w:rPr>
          <w:rFonts w:ascii="Arial" w:eastAsia="Arial"/>
          <w:b/>
          <w:w w:val="120"/>
          <w:sz w:val="28"/>
        </w:rPr>
        <w:t> </w:t>
      </w:r>
      <w:r>
        <w:rPr>
          <w:rFonts w:ascii="Arial" w:eastAsia="Arial"/>
          <w:b/>
          <w:spacing w:val="-10"/>
          <w:w w:val="120"/>
          <w:sz w:val="28"/>
        </w:rPr>
        <w:t>)</w:t>
      </w:r>
    </w:p>
    <w:p>
      <w:pPr>
        <w:pStyle w:val="BodyText"/>
        <w:spacing w:before="1"/>
        <w:ind w:left="0"/>
        <w:rPr>
          <w:rFonts w:ascii="Arial"/>
          <w:b/>
          <w:sz w:val="12"/>
        </w:rPr>
      </w:pPr>
    </w:p>
    <w:tbl>
      <w:tblPr>
        <w:tblW w:w="0" w:type="auto"/>
        <w:jc w:val="left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2129"/>
        <w:gridCol w:w="4815"/>
      </w:tblGrid>
      <w:tr>
        <w:trPr>
          <w:trHeight w:val="623" w:hRule="atLeast"/>
        </w:trPr>
        <w:tc>
          <w:tcPr>
            <w:tcW w:w="1531" w:type="dxa"/>
          </w:tcPr>
          <w:p>
            <w:pPr>
              <w:pStyle w:val="TableParagraph"/>
              <w:spacing w:before="116"/>
              <w:ind w:left="345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评分类别</w:t>
            </w:r>
          </w:p>
        </w:tc>
        <w:tc>
          <w:tcPr>
            <w:tcW w:w="2129" w:type="dxa"/>
          </w:tcPr>
          <w:p>
            <w:pPr>
              <w:pStyle w:val="TableParagraph"/>
              <w:spacing w:before="116"/>
              <w:ind w:left="643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评分项目</w:t>
            </w:r>
          </w:p>
        </w:tc>
        <w:tc>
          <w:tcPr>
            <w:tcW w:w="4815" w:type="dxa"/>
          </w:tcPr>
          <w:p>
            <w:pPr>
              <w:pStyle w:val="TableParagraph"/>
              <w:spacing w:before="116"/>
              <w:ind w:left="2"/>
              <w:jc w:val="center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评分内容</w:t>
            </w:r>
          </w:p>
        </w:tc>
      </w:tr>
      <w:tr>
        <w:trPr>
          <w:trHeight w:val="3741" w:hRule="atLeast"/>
        </w:trPr>
        <w:tc>
          <w:tcPr>
            <w:tcW w:w="1531" w:type="dxa"/>
          </w:tcPr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156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1"/>
              <w:ind w:left="448"/>
              <w:rPr>
                <w:sz w:val="21"/>
              </w:rPr>
            </w:pPr>
            <w:r>
              <w:rPr>
                <w:spacing w:val="-5"/>
                <w:sz w:val="21"/>
              </w:rPr>
              <w:t>创新性</w:t>
            </w:r>
          </w:p>
          <w:p>
            <w:pPr>
              <w:pStyle w:val="TableParagraph"/>
              <w:spacing w:before="236"/>
              <w:ind w:left="398"/>
              <w:rPr>
                <w:rFonts w:ascii="MingLiU_HKSCS-ExtB" w:eastAsia="MingLiU_HKSCS-ExtB"/>
                <w:sz w:val="21"/>
              </w:rPr>
            </w:pPr>
            <w:r>
              <w:rPr>
                <w:rFonts w:ascii="MingLiU_HKSCS-ExtB" w:eastAsia="MingLiU_HKSCS-ExtB"/>
                <w:sz w:val="21"/>
              </w:rPr>
              <w:t>(30</w:t>
            </w:r>
            <w:r>
              <w:rPr>
                <w:rFonts w:ascii="MingLiU_HKSCS-ExtB" w:eastAsia="MingLiU_HKSCS-ExtB"/>
                <w:spacing w:val="-6"/>
                <w:sz w:val="21"/>
              </w:rPr>
              <w:t> </w:t>
            </w:r>
            <w:r>
              <w:rPr>
                <w:sz w:val="21"/>
              </w:rPr>
              <w:t>分</w:t>
            </w:r>
            <w:r>
              <w:rPr>
                <w:rFonts w:ascii="MingLiU_HKSCS-ExtB" w:eastAsia="MingLiU_HKSCS-ExtB"/>
                <w:spacing w:val="-10"/>
                <w:sz w:val="21"/>
              </w:rPr>
              <w:t>)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156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line="386" w:lineRule="auto" w:before="1"/>
              <w:ind w:left="108" w:right="122"/>
              <w:rPr>
                <w:sz w:val="21"/>
              </w:rPr>
            </w:pPr>
            <w:r>
              <w:rPr>
                <w:spacing w:val="-2"/>
                <w:sz w:val="21"/>
              </w:rPr>
              <w:t>项目体现的独创性、</w:t>
            </w:r>
            <w:r>
              <w:rPr>
                <w:spacing w:val="-4"/>
                <w:sz w:val="21"/>
              </w:rPr>
              <w:t>创新性</w:t>
            </w:r>
          </w:p>
        </w:tc>
        <w:tc>
          <w:tcPr>
            <w:tcW w:w="4815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15" w:val="left" w:leader="none"/>
              </w:tabs>
              <w:spacing w:line="386" w:lineRule="auto" w:before="116" w:after="0"/>
              <w:ind w:left="107" w:right="101" w:firstLine="0"/>
              <w:jc w:val="both"/>
              <w:rPr>
                <w:sz w:val="21"/>
              </w:rPr>
            </w:pPr>
            <w:r>
              <w:rPr>
                <w:spacing w:val="-2"/>
                <w:sz w:val="21"/>
              </w:rPr>
              <w:t>项目选题具有新意，在工业互联网领域实现应用</w:t>
            </w:r>
            <w:r>
              <w:rPr>
                <w:sz w:val="21"/>
              </w:rPr>
              <w:t>场景的改进和创新，对企业数智化转型有积极作</w:t>
            </w:r>
            <w:r>
              <w:rPr>
                <w:spacing w:val="-6"/>
                <w:sz w:val="21"/>
              </w:rPr>
              <w:t>用。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15" w:val="left" w:leader="none"/>
              </w:tabs>
              <w:spacing w:line="386" w:lineRule="auto" w:before="2" w:after="0"/>
              <w:ind w:left="107" w:right="100" w:firstLine="0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在需求分析、解决方案设计及项目开发、测试等环节取得广度与深度的突破和创新。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15" w:val="left" w:leader="none"/>
              </w:tabs>
              <w:spacing w:line="240" w:lineRule="auto" w:before="2" w:after="0"/>
              <w:ind w:left="315" w:right="0" w:hanging="208"/>
              <w:jc w:val="left"/>
              <w:rPr>
                <w:sz w:val="21"/>
              </w:rPr>
            </w:pPr>
            <w:r>
              <w:rPr>
                <w:spacing w:val="-5"/>
                <w:sz w:val="21"/>
              </w:rPr>
              <w:t>在项目技术应用方面，能够实现对工业互联网领</w:t>
            </w:r>
          </w:p>
        </w:tc>
      </w:tr>
    </w:tbl>
    <w:p>
      <w:pPr>
        <w:pStyle w:val="TableParagraph"/>
        <w:spacing w:after="0" w:line="240" w:lineRule="auto"/>
        <w:jc w:val="left"/>
        <w:rPr>
          <w:sz w:val="21"/>
        </w:rPr>
        <w:sectPr>
          <w:pgSz w:w="11910" w:h="16840"/>
          <w:pgMar w:header="0" w:footer="971" w:top="1460" w:bottom="1160" w:left="1417" w:right="1417"/>
        </w:sectPr>
      </w:pPr>
    </w:p>
    <w:tbl>
      <w:tblPr>
        <w:tblW w:w="0" w:type="auto"/>
        <w:jc w:val="left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1"/>
        <w:gridCol w:w="2129"/>
        <w:gridCol w:w="4815"/>
      </w:tblGrid>
      <w:tr>
        <w:trPr>
          <w:trHeight w:val="3150" w:hRule="atLeast"/>
        </w:trPr>
        <w:tc>
          <w:tcPr>
            <w:tcW w:w="15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15" w:type="dxa"/>
          </w:tcPr>
          <w:p>
            <w:pPr>
              <w:pStyle w:val="TableParagraph"/>
              <w:spacing w:before="118"/>
              <w:ind w:left="107"/>
              <w:rPr>
                <w:sz w:val="21"/>
              </w:rPr>
            </w:pPr>
            <w:r>
              <w:rPr>
                <w:spacing w:val="-4"/>
                <w:sz w:val="21"/>
              </w:rPr>
              <w:t>域的技术推进。</w:t>
            </w:r>
          </w:p>
          <w:p>
            <w:pPr>
              <w:pStyle w:val="TableParagraph"/>
              <w:spacing w:line="386" w:lineRule="auto" w:before="237"/>
              <w:ind w:left="107" w:right="100"/>
              <w:rPr>
                <w:sz w:val="21"/>
              </w:rPr>
            </w:pPr>
            <w:r>
              <w:rPr>
                <w:rFonts w:ascii="MingLiU_HKSCS-ExtB" w:eastAsia="MingLiU_HKSCS-ExtB"/>
                <w:spacing w:val="-2"/>
                <w:sz w:val="21"/>
              </w:rPr>
              <w:t>4.</w:t>
            </w:r>
            <w:r>
              <w:rPr>
                <w:spacing w:val="-2"/>
                <w:sz w:val="21"/>
              </w:rPr>
              <w:t>在技术呈现上，涉及的相关技术、算法、工艺等具有独创性、创新性。</w:t>
            </w:r>
          </w:p>
        </w:tc>
      </w:tr>
      <w:tr>
        <w:trPr>
          <w:trHeight w:val="6863" w:hRule="atLeast"/>
        </w:trPr>
        <w:tc>
          <w:tcPr>
            <w:tcW w:w="1531" w:type="dxa"/>
          </w:tcPr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26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448"/>
              <w:rPr>
                <w:sz w:val="21"/>
              </w:rPr>
            </w:pPr>
            <w:r>
              <w:rPr>
                <w:spacing w:val="-5"/>
                <w:sz w:val="21"/>
              </w:rPr>
              <w:t>实践性</w:t>
            </w:r>
          </w:p>
          <w:p>
            <w:pPr>
              <w:pStyle w:val="TableParagraph"/>
              <w:spacing w:before="237"/>
              <w:ind w:left="319"/>
              <w:rPr>
                <w:sz w:val="21"/>
              </w:rPr>
            </w:pPr>
            <w:r>
              <w:rPr>
                <w:spacing w:val="-2"/>
                <w:sz w:val="21"/>
              </w:rPr>
              <w:t>（</w:t>
            </w:r>
            <w:r>
              <w:rPr>
                <w:rFonts w:ascii="MingLiU_HKSCS-ExtB" w:eastAsia="MingLiU_HKSCS-ExtB"/>
                <w:spacing w:val="-2"/>
                <w:sz w:val="21"/>
              </w:rPr>
              <w:t>50</w:t>
            </w:r>
            <w:r>
              <w:rPr>
                <w:rFonts w:ascii="MingLiU_HKSCS-ExtB" w:eastAsia="MingLiU_HKSCS-ExtB"/>
                <w:spacing w:val="-52"/>
                <w:sz w:val="21"/>
              </w:rPr>
              <w:t> </w:t>
            </w:r>
            <w:r>
              <w:rPr>
                <w:spacing w:val="-2"/>
                <w:sz w:val="21"/>
              </w:rPr>
              <w:t>分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97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18" w:right="13"/>
              <w:jc w:val="center"/>
              <w:rPr>
                <w:sz w:val="21"/>
              </w:rPr>
            </w:pPr>
            <w:r>
              <w:rPr>
                <w:spacing w:val="-3"/>
                <w:sz w:val="21"/>
              </w:rPr>
              <w:t>项目与实际结合情况</w:t>
            </w:r>
          </w:p>
        </w:tc>
        <w:tc>
          <w:tcPr>
            <w:tcW w:w="4815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15" w:val="left" w:leader="none"/>
              </w:tabs>
              <w:spacing w:line="240" w:lineRule="auto" w:before="116" w:after="0"/>
              <w:ind w:left="315" w:right="0" w:hanging="208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项目背景与需求分析切合产业实际。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15" w:val="left" w:leader="none"/>
              </w:tabs>
              <w:spacing w:line="386" w:lineRule="auto" w:before="237" w:after="0"/>
              <w:ind w:left="107" w:right="100" w:firstLine="0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解决方案合理并能兼顾目标与资源配置，对关键痛难点技术判断合理，技术具有先进性。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15" w:val="left" w:leader="none"/>
              </w:tabs>
              <w:spacing w:line="386" w:lineRule="auto" w:before="1" w:after="0"/>
              <w:ind w:left="107" w:right="100" w:firstLine="0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项目技术方案可行性高，技术路线清晰明确、技术工具成熟可靠，项目实现度高，完成度好。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15" w:val="left" w:leader="none"/>
              </w:tabs>
              <w:spacing w:line="386" w:lineRule="auto" w:before="2" w:after="0"/>
              <w:ind w:left="107" w:right="100" w:firstLine="0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技术资源及经济成本控制合理，与项目需求匹配</w:t>
            </w:r>
            <w:r>
              <w:rPr>
                <w:spacing w:val="-4"/>
                <w:sz w:val="21"/>
              </w:rPr>
              <w:t>恰当。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15" w:val="left" w:leader="none"/>
              </w:tabs>
              <w:spacing w:line="386" w:lineRule="auto" w:before="2" w:after="0"/>
              <w:ind w:left="107" w:right="100" w:firstLine="0"/>
              <w:jc w:val="both"/>
              <w:rPr>
                <w:sz w:val="21"/>
              </w:rPr>
            </w:pPr>
            <w:r>
              <w:rPr>
                <w:spacing w:val="-2"/>
                <w:sz w:val="21"/>
              </w:rPr>
              <w:t>在项目成果展示中，能够展示出详细的项目架构体系、项目实践流程、关键业务处理过程、算法代</w:t>
            </w:r>
            <w:r>
              <w:rPr>
                <w:spacing w:val="-5"/>
                <w:sz w:val="21"/>
              </w:rPr>
              <w:t>码的高可用性，以及项目在实践过程中的业务流程</w:t>
            </w:r>
          </w:p>
          <w:p>
            <w:pPr>
              <w:pStyle w:val="TableParagraph"/>
              <w:spacing w:before="2"/>
              <w:ind w:left="107"/>
              <w:rPr>
                <w:sz w:val="21"/>
              </w:rPr>
            </w:pPr>
            <w:r>
              <w:rPr>
                <w:spacing w:val="-3"/>
                <w:sz w:val="21"/>
              </w:rPr>
              <w:t>测试、压力测试、安全测试等测试结果。</w:t>
            </w:r>
          </w:p>
        </w:tc>
      </w:tr>
      <w:tr>
        <w:trPr>
          <w:trHeight w:val="2495" w:hRule="atLeast"/>
        </w:trPr>
        <w:tc>
          <w:tcPr>
            <w:tcW w:w="1531" w:type="dxa"/>
          </w:tcPr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18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345"/>
              <w:rPr>
                <w:sz w:val="21"/>
              </w:rPr>
            </w:pPr>
            <w:r>
              <w:rPr>
                <w:spacing w:val="-7"/>
                <w:sz w:val="21"/>
              </w:rPr>
              <w:t>团队能力</w:t>
            </w:r>
          </w:p>
          <w:p>
            <w:pPr>
              <w:pStyle w:val="TableParagraph"/>
              <w:spacing w:before="237"/>
              <w:ind w:left="319"/>
              <w:rPr>
                <w:sz w:val="21"/>
              </w:rPr>
            </w:pPr>
            <w:r>
              <w:rPr>
                <w:spacing w:val="-2"/>
                <w:sz w:val="21"/>
              </w:rPr>
              <w:t>（</w:t>
            </w:r>
            <w:r>
              <w:rPr>
                <w:rFonts w:ascii="MingLiU_HKSCS-ExtB" w:eastAsia="MingLiU_HKSCS-ExtB"/>
                <w:spacing w:val="-2"/>
                <w:sz w:val="21"/>
              </w:rPr>
              <w:t>10</w:t>
            </w:r>
            <w:r>
              <w:rPr>
                <w:rFonts w:ascii="MingLiU_HKSCS-ExtB" w:eastAsia="MingLiU_HKSCS-ExtB"/>
                <w:spacing w:val="-52"/>
                <w:sz w:val="21"/>
              </w:rPr>
              <w:t> </w:t>
            </w:r>
            <w:r>
              <w:rPr>
                <w:spacing w:val="-2"/>
                <w:sz w:val="21"/>
              </w:rPr>
              <w:t>分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2129" w:type="dxa"/>
          </w:tcPr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88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5" w:right="18"/>
              <w:jc w:val="center"/>
              <w:rPr>
                <w:sz w:val="21"/>
              </w:rPr>
            </w:pPr>
            <w:r>
              <w:rPr>
                <w:spacing w:val="-3"/>
                <w:sz w:val="21"/>
              </w:rPr>
              <w:t>团队成员的协作能力</w:t>
            </w:r>
          </w:p>
        </w:tc>
        <w:tc>
          <w:tcPr>
            <w:tcW w:w="4815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15" w:val="left" w:leader="none"/>
              </w:tabs>
              <w:spacing w:line="240" w:lineRule="auto" w:before="118" w:after="0"/>
              <w:ind w:left="315" w:right="0" w:hanging="208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团队成员的教育、实践、创新能力等情况。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15" w:val="left" w:leader="none"/>
              </w:tabs>
              <w:spacing w:line="240" w:lineRule="auto" w:before="237" w:after="0"/>
              <w:ind w:left="315" w:right="0" w:hanging="208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团队结构、分工协作、能力互补、人员配置。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15" w:val="left" w:leader="none"/>
              </w:tabs>
              <w:spacing w:line="620" w:lineRule="atLeast" w:before="4" w:after="0"/>
              <w:ind w:left="107" w:right="100" w:firstLine="0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团队与项目关系的真实性、紧密性，团队对项目的各类投入情况。</w:t>
            </w:r>
          </w:p>
        </w:tc>
      </w:tr>
      <w:tr>
        <w:trPr>
          <w:trHeight w:val="1250" w:hRule="atLeast"/>
        </w:trPr>
        <w:tc>
          <w:tcPr>
            <w:tcW w:w="1531" w:type="dxa"/>
          </w:tcPr>
          <w:p>
            <w:pPr>
              <w:pStyle w:val="TableParagraph"/>
              <w:spacing w:before="118"/>
              <w:ind w:left="345"/>
              <w:rPr>
                <w:sz w:val="21"/>
              </w:rPr>
            </w:pPr>
            <w:r>
              <w:rPr>
                <w:spacing w:val="-7"/>
                <w:sz w:val="21"/>
              </w:rPr>
              <w:t>沟通表达</w:t>
            </w:r>
          </w:p>
          <w:p>
            <w:pPr>
              <w:pStyle w:val="TableParagraph"/>
              <w:spacing w:before="237"/>
              <w:ind w:left="292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rFonts w:ascii="MingLiU_HKSCS-ExtB" w:eastAsia="MingLiU_HKSCS-ExtB"/>
                <w:sz w:val="21"/>
              </w:rPr>
              <w:t>10</w:t>
            </w:r>
            <w:r>
              <w:rPr>
                <w:rFonts w:ascii="MingLiU_HKSCS-ExtB" w:eastAsia="MingLiU_HKSCS-ExtB"/>
                <w:spacing w:val="-6"/>
                <w:sz w:val="21"/>
              </w:rPr>
              <w:t> </w:t>
            </w:r>
            <w:r>
              <w:rPr>
                <w:sz w:val="21"/>
              </w:rPr>
              <w:t>分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2129" w:type="dxa"/>
          </w:tcPr>
          <w:p>
            <w:pPr>
              <w:pStyle w:val="TableParagraph"/>
              <w:spacing w:before="189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5" w:right="18"/>
              <w:jc w:val="center"/>
              <w:rPr>
                <w:sz w:val="21"/>
              </w:rPr>
            </w:pPr>
            <w:r>
              <w:rPr>
                <w:spacing w:val="-3"/>
                <w:sz w:val="21"/>
              </w:rPr>
              <w:t>文档书写和表达能力</w:t>
            </w:r>
          </w:p>
        </w:tc>
        <w:tc>
          <w:tcPr>
            <w:tcW w:w="4815" w:type="dxa"/>
          </w:tcPr>
          <w:p>
            <w:pPr>
              <w:pStyle w:val="TableParagraph"/>
              <w:spacing w:before="118"/>
              <w:ind w:right="100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书面文档：文本规范、条理清晰、文章前后逻</w:t>
            </w:r>
          </w:p>
          <w:p>
            <w:pPr>
              <w:pStyle w:val="TableParagraph"/>
              <w:spacing w:before="237"/>
              <w:ind w:right="77"/>
              <w:jc w:val="right"/>
              <w:rPr>
                <w:sz w:val="21"/>
              </w:rPr>
            </w:pPr>
            <w:r>
              <w:rPr>
                <w:spacing w:val="-3"/>
                <w:sz w:val="21"/>
              </w:rPr>
              <w:t>辑紧密，语言流畅、内容全面、系统、科学性强。</w:t>
            </w:r>
          </w:p>
        </w:tc>
      </w:tr>
    </w:tbl>
    <w:p>
      <w:pPr>
        <w:pStyle w:val="TableParagraph"/>
        <w:spacing w:after="0"/>
        <w:jc w:val="right"/>
        <w:rPr>
          <w:sz w:val="21"/>
        </w:rPr>
        <w:sectPr>
          <w:type w:val="continuous"/>
          <w:pgSz w:w="11910" w:h="16840"/>
          <w:pgMar w:header="0" w:footer="971" w:top="1400" w:bottom="1160" w:left="1417" w:right="1417"/>
        </w:sectPr>
      </w:pPr>
    </w:p>
    <w:p>
      <w:pPr>
        <w:pStyle w:val="BodyText"/>
        <w:spacing w:before="97"/>
        <w:ind w:left="0"/>
        <w:rPr>
          <w:rFonts w:ascii="Arial"/>
          <w:b/>
        </w:rPr>
      </w:pPr>
    </w:p>
    <w:p>
      <w:pPr>
        <w:spacing w:before="0"/>
        <w:ind w:left="944" w:right="0" w:firstLine="0"/>
        <w:jc w:val="left"/>
        <w:rPr>
          <w:rFonts w:ascii="Arial" w:eastAsia="Arial"/>
          <w:b/>
          <w:sz w:val="28"/>
        </w:rPr>
      </w:pPr>
      <w:r>
        <w:rPr>
          <w:rFonts w:ascii="MingLiU_HKSCS-ExtB" w:eastAsia="MingLiU_HKSCS-ExtB"/>
          <w:sz w:val="28"/>
        </w:rPr>
        <w:t>3</w:t>
      </w:r>
      <w:r>
        <w:rPr>
          <w:sz w:val="28"/>
        </w:rPr>
        <w:t>、</w:t>
      </w:r>
      <w:r>
        <w:rPr>
          <w:b/>
          <w:spacing w:val="3"/>
          <w:sz w:val="28"/>
        </w:rPr>
        <w:t>嵌入式系统智能硬件开发评分标准 </w:t>
      </w:r>
      <w:r>
        <w:rPr>
          <w:rFonts w:ascii="Arial" w:eastAsia="Arial"/>
          <w:b/>
          <w:sz w:val="28"/>
        </w:rPr>
        <w:t>(</w:t>
      </w:r>
      <w:r>
        <w:rPr>
          <w:b/>
          <w:spacing w:val="-3"/>
          <w:sz w:val="28"/>
        </w:rPr>
        <w:t>详见附件 </w:t>
      </w:r>
      <w:r>
        <w:rPr>
          <w:rFonts w:ascii="MingLiU_HKSCS-ExtB" w:eastAsia="MingLiU_HKSCS-ExtB"/>
          <w:sz w:val="28"/>
        </w:rPr>
        <w:t>6</w:t>
      </w:r>
      <w:r>
        <w:rPr>
          <w:rFonts w:ascii="MingLiU_HKSCS-ExtB" w:eastAsia="MingLiU_HKSCS-ExtB"/>
          <w:spacing w:val="5"/>
          <w:sz w:val="28"/>
        </w:rPr>
        <w:t> </w:t>
      </w:r>
      <w:r>
        <w:rPr>
          <w:rFonts w:ascii="Arial" w:eastAsia="Arial"/>
          <w:b/>
          <w:spacing w:val="-10"/>
          <w:sz w:val="28"/>
        </w:rPr>
        <w:t>)</w:t>
      </w:r>
    </w:p>
    <w:p>
      <w:pPr>
        <w:pStyle w:val="BodyText"/>
        <w:spacing w:before="1"/>
        <w:ind w:left="0"/>
        <w:rPr>
          <w:rFonts w:ascii="Arial"/>
          <w:b/>
          <w:sz w:val="12"/>
        </w:rPr>
      </w:pPr>
    </w:p>
    <w:tbl>
      <w:tblPr>
        <w:tblW w:w="0" w:type="auto"/>
        <w:jc w:val="left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4"/>
        <w:gridCol w:w="2414"/>
        <w:gridCol w:w="4310"/>
      </w:tblGrid>
      <w:tr>
        <w:trPr>
          <w:trHeight w:val="625" w:hRule="atLeast"/>
        </w:trPr>
        <w:tc>
          <w:tcPr>
            <w:tcW w:w="1874" w:type="dxa"/>
          </w:tcPr>
          <w:p>
            <w:pPr>
              <w:pStyle w:val="TableParagraph"/>
              <w:spacing w:before="118"/>
              <w:ind w:left="515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评分类别</w:t>
            </w:r>
          </w:p>
        </w:tc>
        <w:tc>
          <w:tcPr>
            <w:tcW w:w="2414" w:type="dxa"/>
          </w:tcPr>
          <w:p>
            <w:pPr>
              <w:pStyle w:val="TableParagraph"/>
              <w:spacing w:before="118"/>
              <w:ind w:left="785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评分项目</w:t>
            </w:r>
          </w:p>
        </w:tc>
        <w:tc>
          <w:tcPr>
            <w:tcW w:w="4310" w:type="dxa"/>
          </w:tcPr>
          <w:p>
            <w:pPr>
              <w:pStyle w:val="TableParagraph"/>
              <w:spacing w:before="118"/>
              <w:ind w:left="9"/>
              <w:jc w:val="center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评分内容</w:t>
            </w:r>
          </w:p>
        </w:tc>
      </w:tr>
      <w:tr>
        <w:trPr>
          <w:trHeight w:val="1247" w:hRule="atLeast"/>
        </w:trPr>
        <w:tc>
          <w:tcPr>
            <w:tcW w:w="1874" w:type="dxa"/>
          </w:tcPr>
          <w:p>
            <w:pPr>
              <w:pStyle w:val="TableParagraph"/>
              <w:spacing w:before="116"/>
              <w:ind w:left="515"/>
              <w:rPr>
                <w:sz w:val="21"/>
              </w:rPr>
            </w:pPr>
            <w:r>
              <w:rPr>
                <w:spacing w:val="-7"/>
                <w:sz w:val="21"/>
              </w:rPr>
              <w:t>基础环境</w:t>
            </w:r>
          </w:p>
          <w:p>
            <w:pPr>
              <w:pStyle w:val="TableParagraph"/>
              <w:spacing w:before="237"/>
              <w:ind w:left="463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rFonts w:ascii="MingLiU_HKSCS-ExtB" w:eastAsia="MingLiU_HKSCS-ExtB"/>
                <w:sz w:val="21"/>
              </w:rPr>
              <w:t>25</w:t>
            </w:r>
            <w:r>
              <w:rPr>
                <w:rFonts w:ascii="MingLiU_HKSCS-ExtB" w:eastAsia="MingLiU_HKSCS-ExtB"/>
                <w:spacing w:val="-6"/>
                <w:sz w:val="21"/>
              </w:rPr>
              <w:t> </w:t>
            </w:r>
            <w:r>
              <w:rPr>
                <w:sz w:val="21"/>
              </w:rPr>
              <w:t>分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2414" w:type="dxa"/>
          </w:tcPr>
          <w:p>
            <w:pPr>
              <w:pStyle w:val="TableParagraph"/>
              <w:spacing w:line="278" w:lineRule="auto" w:before="174"/>
              <w:ind w:left="233" w:right="222"/>
              <w:jc w:val="center"/>
              <w:rPr>
                <w:rFonts w:ascii="SimSun" w:eastAsia="SimSun"/>
                <w:sz w:val="21"/>
              </w:rPr>
            </w:pPr>
            <w:r>
              <w:rPr>
                <w:rFonts w:ascii="SimSun" w:eastAsia="SimSun"/>
                <w:spacing w:val="-14"/>
                <w:sz w:val="21"/>
              </w:rPr>
              <w:t>嵌入式 </w:t>
            </w:r>
            <w:r>
              <w:rPr>
                <w:rFonts w:ascii="Times New Roman" w:eastAsia="Times New Roman"/>
                <w:sz w:val="21"/>
              </w:rPr>
              <w:t>BootLoader</w:t>
            </w:r>
            <w:r>
              <w:rPr>
                <w:rFonts w:ascii="Times New Roman" w:eastAsia="Times New Roman"/>
                <w:spacing w:val="-14"/>
                <w:sz w:val="21"/>
              </w:rPr>
              <w:t> </w:t>
            </w:r>
            <w:r>
              <w:rPr>
                <w:rFonts w:ascii="SimSun" w:eastAsia="SimSun"/>
                <w:sz w:val="21"/>
              </w:rPr>
              <w:t>及 </w:t>
            </w:r>
            <w:r>
              <w:rPr>
                <w:rFonts w:ascii="Times New Roman" w:eastAsia="Times New Roman"/>
                <w:sz w:val="21"/>
              </w:rPr>
              <w:t>Linux </w:t>
            </w:r>
            <w:r>
              <w:rPr>
                <w:rFonts w:ascii="SimSun" w:eastAsia="SimSun"/>
                <w:sz w:val="21"/>
              </w:rPr>
              <w:t>系统的编译、</w:t>
            </w:r>
            <w:r>
              <w:rPr>
                <w:rFonts w:ascii="SimSun" w:eastAsia="SimSun"/>
                <w:spacing w:val="-2"/>
                <w:sz w:val="21"/>
              </w:rPr>
              <w:t>烧写与运行</w:t>
            </w:r>
          </w:p>
        </w:tc>
        <w:tc>
          <w:tcPr>
            <w:tcW w:w="4310" w:type="dxa"/>
          </w:tcPr>
          <w:p>
            <w:pPr>
              <w:pStyle w:val="TableParagraph"/>
              <w:spacing w:line="278" w:lineRule="auto" w:before="174"/>
              <w:ind w:left="108" w:right="97"/>
              <w:jc w:val="both"/>
              <w:rPr>
                <w:rFonts w:ascii="SimSun" w:eastAsia="SimSun"/>
                <w:sz w:val="21"/>
              </w:rPr>
            </w:pPr>
            <w:r>
              <w:rPr>
                <w:rFonts w:ascii="SimSun" w:eastAsia="SimSun"/>
                <w:spacing w:val="-7"/>
                <w:sz w:val="21"/>
              </w:rPr>
              <w:t>主要包括 </w:t>
            </w:r>
            <w:r>
              <w:rPr>
                <w:rFonts w:ascii="Times New Roman" w:eastAsia="Times New Roman"/>
                <w:spacing w:val="-2"/>
                <w:sz w:val="21"/>
              </w:rPr>
              <w:t>BootLoader</w:t>
            </w:r>
            <w:r>
              <w:rPr>
                <w:rFonts w:ascii="Times New Roman" w:eastAsia="Times New Roman"/>
                <w:spacing w:val="-11"/>
                <w:sz w:val="21"/>
              </w:rPr>
              <w:t> </w:t>
            </w:r>
            <w:r>
              <w:rPr>
                <w:rFonts w:ascii="SimSun" w:eastAsia="SimSun"/>
                <w:spacing w:val="-13"/>
                <w:sz w:val="21"/>
              </w:rPr>
              <w:t>及 </w:t>
            </w:r>
            <w:r>
              <w:rPr>
                <w:rFonts w:ascii="Times New Roman" w:eastAsia="Times New Roman"/>
                <w:spacing w:val="-2"/>
                <w:sz w:val="21"/>
              </w:rPr>
              <w:t>Kernel</w:t>
            </w:r>
            <w:r>
              <w:rPr>
                <w:rFonts w:ascii="Times New Roman" w:eastAsia="Times New Roman"/>
                <w:spacing w:val="-11"/>
                <w:sz w:val="21"/>
              </w:rPr>
              <w:t> </w:t>
            </w:r>
            <w:r>
              <w:rPr>
                <w:rFonts w:ascii="SimSun" w:eastAsia="SimSun"/>
                <w:spacing w:val="-2"/>
                <w:sz w:val="21"/>
              </w:rPr>
              <w:t>的正确编译； </w:t>
            </w:r>
            <w:r>
              <w:rPr>
                <w:rFonts w:ascii="Times New Roman" w:eastAsia="Times New Roman"/>
                <w:spacing w:val="-2"/>
                <w:sz w:val="21"/>
              </w:rPr>
              <w:t>Linux</w:t>
            </w:r>
            <w:r>
              <w:rPr>
                <w:rFonts w:ascii="Times New Roman" w:eastAsia="Times New Roman"/>
                <w:spacing w:val="-10"/>
                <w:sz w:val="21"/>
              </w:rPr>
              <w:t> </w:t>
            </w:r>
            <w:r>
              <w:rPr>
                <w:rFonts w:ascii="SimSun" w:eastAsia="SimSun"/>
                <w:spacing w:val="-2"/>
                <w:sz w:val="21"/>
              </w:rPr>
              <w:t>文件系统的修改与生成；</w:t>
            </w:r>
            <w:r>
              <w:rPr>
                <w:rFonts w:ascii="Times New Roman" w:eastAsia="Times New Roman"/>
                <w:spacing w:val="-2"/>
                <w:sz w:val="21"/>
              </w:rPr>
              <w:t>BootLoader</w:t>
            </w:r>
            <w:r>
              <w:rPr>
                <w:rFonts w:ascii="Times New Roman" w:eastAsia="Times New Roman"/>
                <w:spacing w:val="-11"/>
                <w:sz w:val="21"/>
              </w:rPr>
              <w:t> </w:t>
            </w:r>
            <w:r>
              <w:rPr>
                <w:rFonts w:ascii="SimSun" w:eastAsia="SimSun"/>
                <w:spacing w:val="-2"/>
                <w:sz w:val="21"/>
              </w:rPr>
              <w:t>及 </w:t>
            </w:r>
            <w:r>
              <w:rPr>
                <w:rFonts w:ascii="Times New Roman" w:eastAsia="Times New Roman"/>
                <w:sz w:val="21"/>
              </w:rPr>
              <w:t>Linux </w:t>
            </w:r>
            <w:r>
              <w:rPr>
                <w:rFonts w:ascii="SimSun" w:eastAsia="SimSun"/>
                <w:sz w:val="21"/>
              </w:rPr>
              <w:t>系统的烧写及运行。</w:t>
            </w:r>
          </w:p>
        </w:tc>
      </w:tr>
      <w:tr>
        <w:trPr>
          <w:trHeight w:val="983" w:hRule="atLeast"/>
        </w:trPr>
        <w:tc>
          <w:tcPr>
            <w:tcW w:w="1874" w:type="dxa"/>
          </w:tcPr>
          <w:p>
            <w:pPr>
              <w:pStyle w:val="TableParagraph"/>
              <w:spacing w:before="41"/>
              <w:ind w:left="515"/>
              <w:rPr>
                <w:rFonts w:ascii="SimSun" w:eastAsia="SimSun"/>
                <w:sz w:val="21"/>
              </w:rPr>
            </w:pPr>
            <w:r>
              <w:rPr>
                <w:rFonts w:ascii="SimSun" w:eastAsia="SimSun"/>
                <w:spacing w:val="-7"/>
                <w:sz w:val="21"/>
              </w:rPr>
              <w:t>驱动编写</w:t>
            </w:r>
          </w:p>
          <w:p>
            <w:pPr>
              <w:pStyle w:val="TableParagraph"/>
              <w:spacing w:before="142"/>
              <w:ind w:left="489"/>
              <w:rPr>
                <w:sz w:val="21"/>
              </w:rPr>
            </w:pPr>
            <w:r>
              <w:rPr>
                <w:spacing w:val="-2"/>
                <w:sz w:val="21"/>
              </w:rPr>
              <w:t>（</w:t>
            </w:r>
            <w:r>
              <w:rPr>
                <w:rFonts w:ascii="MingLiU_HKSCS-ExtB" w:eastAsia="MingLiU_HKSCS-ExtB"/>
                <w:spacing w:val="-2"/>
                <w:sz w:val="21"/>
              </w:rPr>
              <w:t>45</w:t>
            </w:r>
            <w:r>
              <w:rPr>
                <w:rFonts w:ascii="MingLiU_HKSCS-ExtB" w:eastAsia="MingLiU_HKSCS-ExtB"/>
                <w:spacing w:val="-52"/>
                <w:sz w:val="21"/>
              </w:rPr>
              <w:t> </w:t>
            </w:r>
            <w:r>
              <w:rPr>
                <w:spacing w:val="-2"/>
                <w:sz w:val="21"/>
              </w:rPr>
              <w:t>分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2414" w:type="dxa"/>
          </w:tcPr>
          <w:p>
            <w:pPr>
              <w:pStyle w:val="TableParagraph"/>
              <w:spacing w:line="278" w:lineRule="auto" w:before="198"/>
              <w:ind w:left="785" w:right="371" w:hanging="408"/>
              <w:rPr>
                <w:rFonts w:ascii="SimSun" w:eastAsia="SimSun"/>
                <w:sz w:val="21"/>
              </w:rPr>
            </w:pPr>
            <w:r>
              <w:rPr>
                <w:rFonts w:ascii="SimSun" w:eastAsia="SimSun"/>
                <w:spacing w:val="-13"/>
                <w:sz w:val="21"/>
              </w:rPr>
              <w:t>嵌入式 </w:t>
            </w:r>
            <w:r>
              <w:rPr>
                <w:rFonts w:ascii="Times New Roman" w:eastAsia="Times New Roman"/>
                <w:sz w:val="21"/>
              </w:rPr>
              <w:t>Linux</w:t>
            </w:r>
            <w:r>
              <w:rPr>
                <w:rFonts w:ascii="Times New Roman" w:eastAsia="Times New Roman"/>
                <w:spacing w:val="-14"/>
                <w:sz w:val="21"/>
              </w:rPr>
              <w:t> </w:t>
            </w:r>
            <w:r>
              <w:rPr>
                <w:rFonts w:ascii="SimSun" w:eastAsia="SimSun"/>
                <w:sz w:val="21"/>
              </w:rPr>
              <w:t>系统</w:t>
            </w:r>
            <w:r>
              <w:rPr>
                <w:rFonts w:ascii="SimSun" w:eastAsia="SimSun"/>
                <w:spacing w:val="-4"/>
                <w:sz w:val="21"/>
              </w:rPr>
              <w:t>驱动开发</w:t>
            </w:r>
          </w:p>
        </w:tc>
        <w:tc>
          <w:tcPr>
            <w:tcW w:w="4310" w:type="dxa"/>
          </w:tcPr>
          <w:p>
            <w:pPr>
              <w:pStyle w:val="TableParagraph"/>
              <w:spacing w:line="278" w:lineRule="auto" w:before="198"/>
              <w:ind w:left="108" w:right="200"/>
              <w:rPr>
                <w:rFonts w:ascii="SimSun" w:eastAsia="SimSun"/>
                <w:sz w:val="21"/>
              </w:rPr>
            </w:pPr>
            <w:r>
              <w:rPr>
                <w:rFonts w:ascii="SimSun" w:eastAsia="SimSun"/>
                <w:spacing w:val="-2"/>
                <w:sz w:val="21"/>
              </w:rPr>
              <w:t>主要包括嵌入式外设模块的驱动编写，外设模块驱动添加到系统，以及驱动测试。</w:t>
            </w:r>
          </w:p>
        </w:tc>
      </w:tr>
      <w:tr>
        <w:trPr>
          <w:trHeight w:val="1247" w:hRule="atLeast"/>
        </w:trPr>
        <w:tc>
          <w:tcPr>
            <w:tcW w:w="1874" w:type="dxa"/>
          </w:tcPr>
          <w:p>
            <w:pPr>
              <w:pStyle w:val="TableParagraph"/>
              <w:spacing w:before="116"/>
              <w:ind w:left="515"/>
              <w:rPr>
                <w:sz w:val="21"/>
              </w:rPr>
            </w:pPr>
            <w:r>
              <w:rPr>
                <w:spacing w:val="-7"/>
                <w:sz w:val="21"/>
              </w:rPr>
              <w:t>应用开发</w:t>
            </w:r>
          </w:p>
          <w:p>
            <w:pPr>
              <w:pStyle w:val="TableParagraph"/>
              <w:spacing w:before="237"/>
              <w:ind w:left="463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rFonts w:ascii="MingLiU_HKSCS-ExtB" w:eastAsia="MingLiU_HKSCS-ExtB"/>
                <w:sz w:val="21"/>
              </w:rPr>
              <w:t>30</w:t>
            </w:r>
            <w:r>
              <w:rPr>
                <w:rFonts w:ascii="MingLiU_HKSCS-ExtB" w:eastAsia="MingLiU_HKSCS-ExtB"/>
                <w:spacing w:val="-7"/>
                <w:sz w:val="21"/>
              </w:rPr>
              <w:t> </w:t>
            </w:r>
            <w:r>
              <w:rPr>
                <w:sz w:val="21"/>
              </w:rPr>
              <w:t>分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2414" w:type="dxa"/>
          </w:tcPr>
          <w:p>
            <w:pPr>
              <w:pStyle w:val="TableParagraph"/>
              <w:spacing w:before="88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614"/>
              <w:rPr>
                <w:rFonts w:ascii="Times New Roman" w:eastAsia="Times New Roman"/>
                <w:sz w:val="21"/>
              </w:rPr>
            </w:pPr>
            <w:r>
              <w:rPr>
                <w:rFonts w:ascii="SimSun" w:eastAsia="SimSun"/>
                <w:spacing w:val="-15"/>
                <w:sz w:val="21"/>
              </w:rPr>
              <w:t>嵌入式 </w:t>
            </w:r>
            <w:r>
              <w:rPr>
                <w:rFonts w:ascii="Times New Roman" w:eastAsia="Times New Roman"/>
                <w:spacing w:val="-2"/>
                <w:sz w:val="21"/>
              </w:rPr>
              <w:t>Linux</w:t>
            </w:r>
          </w:p>
          <w:p>
            <w:pPr>
              <w:pStyle w:val="TableParagraph"/>
              <w:spacing w:before="43"/>
              <w:ind w:left="576"/>
              <w:rPr>
                <w:rFonts w:ascii="SimSun" w:eastAsia="SimSun"/>
                <w:sz w:val="21"/>
              </w:rPr>
            </w:pPr>
            <w:r>
              <w:rPr>
                <w:rFonts w:ascii="SimSun" w:eastAsia="SimSun"/>
                <w:spacing w:val="-4"/>
                <w:sz w:val="21"/>
              </w:rPr>
              <w:t>应用系统开发</w:t>
            </w:r>
          </w:p>
        </w:tc>
        <w:tc>
          <w:tcPr>
            <w:tcW w:w="4310" w:type="dxa"/>
          </w:tcPr>
          <w:p>
            <w:pPr>
              <w:pStyle w:val="TableParagraph"/>
              <w:spacing w:line="278" w:lineRule="auto" w:before="174"/>
              <w:ind w:left="108" w:right="175"/>
              <w:jc w:val="both"/>
              <w:rPr>
                <w:rFonts w:ascii="SimSun" w:eastAsia="SimSun"/>
                <w:sz w:val="21"/>
              </w:rPr>
            </w:pPr>
            <w:r>
              <w:rPr>
                <w:rFonts w:ascii="SimSun" w:eastAsia="SimSun"/>
                <w:spacing w:val="-5"/>
                <w:sz w:val="21"/>
              </w:rPr>
              <w:t>主要包括嵌入式 </w:t>
            </w:r>
            <w:r>
              <w:rPr>
                <w:rFonts w:ascii="Times New Roman" w:eastAsia="Times New Roman"/>
                <w:spacing w:val="-2"/>
                <w:sz w:val="21"/>
              </w:rPr>
              <w:t>Linux</w:t>
            </w:r>
            <w:r>
              <w:rPr>
                <w:rFonts w:ascii="Times New Roman" w:eastAsia="Times New Roman"/>
                <w:spacing w:val="-11"/>
                <w:sz w:val="21"/>
              </w:rPr>
              <w:t> </w:t>
            </w:r>
            <w:r>
              <w:rPr>
                <w:rFonts w:ascii="Times New Roman" w:eastAsia="Times New Roman"/>
                <w:spacing w:val="-2"/>
                <w:sz w:val="21"/>
              </w:rPr>
              <w:t>Qt</w:t>
            </w:r>
            <w:r>
              <w:rPr>
                <w:rFonts w:ascii="Times New Roman" w:eastAsia="Times New Roman"/>
                <w:spacing w:val="-11"/>
                <w:sz w:val="21"/>
              </w:rPr>
              <w:t> </w:t>
            </w:r>
            <w:r>
              <w:rPr>
                <w:rFonts w:ascii="SimSun" w:eastAsia="SimSun"/>
                <w:spacing w:val="-2"/>
                <w:sz w:val="21"/>
              </w:rPr>
              <w:t>的应用开发，正确调用驱动查看传感器数值及控制执行器，添加逻辑代码设计实现智能门禁等功能。</w:t>
            </w:r>
          </w:p>
        </w:tc>
      </w:tr>
    </w:tbl>
    <w:p>
      <w:pPr>
        <w:spacing w:before="295"/>
        <w:ind w:left="944" w:right="0" w:firstLine="0"/>
        <w:jc w:val="left"/>
        <w:rPr>
          <w:rFonts w:ascii="Arial" w:eastAsia="Arial"/>
          <w:b/>
          <w:sz w:val="28"/>
        </w:rPr>
      </w:pPr>
      <w:r>
        <w:rPr>
          <w:rFonts w:ascii="MingLiU_HKSCS-ExtB" w:eastAsia="MingLiU_HKSCS-ExtB"/>
          <w:sz w:val="28"/>
        </w:rPr>
        <w:t>4</w:t>
      </w:r>
      <w:r>
        <w:rPr>
          <w:sz w:val="28"/>
        </w:rPr>
        <w:t>、</w:t>
      </w:r>
      <w:r>
        <w:rPr>
          <w:rFonts w:ascii="Arial" w:eastAsia="Arial"/>
          <w:b/>
          <w:sz w:val="28"/>
        </w:rPr>
        <w:t>AI</w:t>
      </w:r>
      <w:r>
        <w:rPr>
          <w:rFonts w:ascii="Arial" w:eastAsia="Arial"/>
          <w:b/>
          <w:spacing w:val="-8"/>
          <w:sz w:val="28"/>
        </w:rPr>
        <w:t> </w:t>
      </w:r>
      <w:r>
        <w:rPr>
          <w:b/>
          <w:spacing w:val="4"/>
          <w:sz w:val="28"/>
        </w:rPr>
        <w:t>赋能嵌入式技术评分标准 </w:t>
      </w:r>
      <w:r>
        <w:rPr>
          <w:rFonts w:ascii="Arial" w:eastAsia="Arial"/>
          <w:b/>
          <w:spacing w:val="33"/>
          <w:sz w:val="28"/>
        </w:rPr>
        <w:t>( </w:t>
      </w:r>
      <w:r>
        <w:rPr>
          <w:b/>
          <w:spacing w:val="-3"/>
          <w:sz w:val="28"/>
        </w:rPr>
        <w:t>详见附件 </w:t>
      </w:r>
      <w:r>
        <w:rPr>
          <w:rFonts w:ascii="MingLiU_HKSCS-ExtB" w:eastAsia="MingLiU_HKSCS-ExtB"/>
          <w:sz w:val="28"/>
        </w:rPr>
        <w:t>7</w:t>
      </w:r>
      <w:r>
        <w:rPr>
          <w:rFonts w:ascii="MingLiU_HKSCS-ExtB" w:eastAsia="MingLiU_HKSCS-ExtB"/>
          <w:spacing w:val="3"/>
          <w:sz w:val="28"/>
        </w:rPr>
        <w:t> </w:t>
      </w:r>
      <w:r>
        <w:rPr>
          <w:rFonts w:ascii="Arial" w:eastAsia="Arial"/>
          <w:b/>
          <w:spacing w:val="-10"/>
          <w:sz w:val="28"/>
        </w:rPr>
        <w:t>)</w:t>
      </w:r>
    </w:p>
    <w:p>
      <w:pPr>
        <w:pStyle w:val="BodyText"/>
        <w:spacing w:before="1"/>
        <w:ind w:left="0"/>
        <w:rPr>
          <w:rFonts w:ascii="Arial"/>
          <w:b/>
          <w:sz w:val="12"/>
        </w:rPr>
      </w:pPr>
    </w:p>
    <w:tbl>
      <w:tblPr>
        <w:tblW w:w="0" w:type="auto"/>
        <w:jc w:val="left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6"/>
        <w:gridCol w:w="4195"/>
        <w:gridCol w:w="3245"/>
      </w:tblGrid>
      <w:tr>
        <w:trPr>
          <w:trHeight w:val="623" w:hRule="atLeast"/>
        </w:trPr>
        <w:tc>
          <w:tcPr>
            <w:tcW w:w="1236" w:type="dxa"/>
          </w:tcPr>
          <w:p>
            <w:pPr>
              <w:pStyle w:val="TableParagraph"/>
              <w:spacing w:before="116"/>
              <w:ind w:left="196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评分类别</w:t>
            </w:r>
          </w:p>
        </w:tc>
        <w:tc>
          <w:tcPr>
            <w:tcW w:w="4195" w:type="dxa"/>
          </w:tcPr>
          <w:p>
            <w:pPr>
              <w:pStyle w:val="TableParagraph"/>
              <w:spacing w:before="116"/>
              <w:ind w:left="45" w:right="38"/>
              <w:jc w:val="center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评分项目</w:t>
            </w:r>
          </w:p>
        </w:tc>
        <w:tc>
          <w:tcPr>
            <w:tcW w:w="3245" w:type="dxa"/>
          </w:tcPr>
          <w:p>
            <w:pPr>
              <w:pStyle w:val="TableParagraph"/>
              <w:spacing w:before="116"/>
              <w:ind w:left="5" w:right="3"/>
              <w:jc w:val="center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评分内容</w:t>
            </w:r>
          </w:p>
        </w:tc>
      </w:tr>
      <w:tr>
        <w:trPr>
          <w:trHeight w:val="1873" w:hRule="atLeast"/>
        </w:trPr>
        <w:tc>
          <w:tcPr>
            <w:tcW w:w="1236" w:type="dxa"/>
          </w:tcPr>
          <w:p>
            <w:pPr>
              <w:pStyle w:val="TableParagraph"/>
              <w:spacing w:line="386" w:lineRule="auto" w:before="116"/>
              <w:ind w:left="196" w:right="135" w:hanging="53"/>
              <w:rPr>
                <w:sz w:val="21"/>
              </w:rPr>
            </w:pPr>
            <w:r>
              <w:rPr>
                <w:spacing w:val="-2"/>
                <w:sz w:val="21"/>
              </w:rPr>
              <w:t>环境搭建</w:t>
            </w:r>
            <w:r>
              <w:rPr>
                <w:rFonts w:ascii="MingLiU_HKSCS-ExtB" w:eastAsia="MingLiU_HKSCS-ExtB"/>
                <w:spacing w:val="-2"/>
                <w:sz w:val="21"/>
              </w:rPr>
              <w:t>/</w:t>
            </w:r>
            <w:r>
              <w:rPr>
                <w:spacing w:val="-6"/>
                <w:sz w:val="21"/>
              </w:rPr>
              <w:t>场景设计</w:t>
            </w:r>
          </w:p>
          <w:p>
            <w:pPr>
              <w:pStyle w:val="TableParagraph"/>
              <w:spacing w:before="2"/>
              <w:ind w:left="249"/>
              <w:rPr>
                <w:rFonts w:ascii="MingLiU_HKSCS-ExtB" w:eastAsia="MingLiU_HKSCS-ExtB"/>
                <w:sz w:val="21"/>
              </w:rPr>
            </w:pPr>
            <w:r>
              <w:rPr>
                <w:rFonts w:ascii="MingLiU_HKSCS-ExtB" w:eastAsia="MingLiU_HKSCS-ExtB"/>
                <w:sz w:val="21"/>
              </w:rPr>
              <w:t>(20</w:t>
            </w:r>
            <w:r>
              <w:rPr>
                <w:rFonts w:ascii="MingLiU_HKSCS-ExtB" w:eastAsia="MingLiU_HKSCS-ExtB"/>
                <w:spacing w:val="-3"/>
                <w:sz w:val="21"/>
              </w:rPr>
              <w:t> </w:t>
            </w:r>
            <w:r>
              <w:rPr>
                <w:sz w:val="21"/>
              </w:rPr>
              <w:t>分</w:t>
            </w:r>
            <w:r>
              <w:rPr>
                <w:rFonts w:ascii="MingLiU_HKSCS-ExtB" w:eastAsia="MingLiU_HKSCS-ExtB"/>
                <w:spacing w:val="-10"/>
                <w:sz w:val="21"/>
              </w:rPr>
              <w:t>)</w:t>
            </w:r>
          </w:p>
        </w:tc>
        <w:tc>
          <w:tcPr>
            <w:tcW w:w="4195" w:type="dxa"/>
          </w:tcPr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15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107"/>
              <w:rPr>
                <w:sz w:val="21"/>
              </w:rPr>
            </w:pPr>
            <w:r>
              <w:rPr>
                <w:spacing w:val="-3"/>
                <w:sz w:val="21"/>
              </w:rPr>
              <w:t>开发软硬件环境安装、工程环境搭建</w:t>
            </w:r>
          </w:p>
        </w:tc>
        <w:tc>
          <w:tcPr>
            <w:tcW w:w="3245" w:type="dxa"/>
          </w:tcPr>
          <w:p>
            <w:pPr>
              <w:pStyle w:val="TableParagraph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24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line="620" w:lineRule="atLeast"/>
              <w:ind w:left="105" w:right="189"/>
              <w:rPr>
                <w:sz w:val="21"/>
              </w:rPr>
            </w:pPr>
            <w:r>
              <w:rPr>
                <w:spacing w:val="-2"/>
                <w:sz w:val="21"/>
              </w:rPr>
              <w:t>能完成所需软硬件环境的搭建等</w:t>
            </w:r>
            <w:r>
              <w:rPr>
                <w:spacing w:val="-4"/>
                <w:sz w:val="21"/>
              </w:rPr>
              <w:t>准备工作</w:t>
            </w:r>
          </w:p>
        </w:tc>
      </w:tr>
      <w:tr>
        <w:trPr>
          <w:trHeight w:val="619" w:hRule="atLeast"/>
        </w:trPr>
        <w:tc>
          <w:tcPr>
            <w:tcW w:w="1236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9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5" w:type="dxa"/>
            <w:tcBorders>
              <w:bottom w:val="nil"/>
            </w:tcBorders>
          </w:tcPr>
          <w:p>
            <w:pPr>
              <w:pStyle w:val="TableParagraph"/>
              <w:spacing w:before="114"/>
              <w:ind w:left="5"/>
              <w:jc w:val="center"/>
              <w:rPr>
                <w:sz w:val="21"/>
              </w:rPr>
            </w:pPr>
            <w:r>
              <w:rPr>
                <w:spacing w:val="-3"/>
                <w:sz w:val="21"/>
              </w:rPr>
              <w:t>能按要求获取任务一到任务四中</w:t>
            </w:r>
          </w:p>
        </w:tc>
      </w:tr>
      <w:tr>
        <w:trPr>
          <w:trHeight w:val="1872" w:hRule="atLeast"/>
        </w:trPr>
        <w:tc>
          <w:tcPr>
            <w:tcW w:w="123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88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196"/>
              <w:rPr>
                <w:sz w:val="21"/>
              </w:rPr>
            </w:pPr>
            <w:r>
              <w:rPr>
                <w:spacing w:val="-7"/>
                <w:sz w:val="21"/>
              </w:rPr>
              <w:t>应用开发</w:t>
            </w:r>
          </w:p>
          <w:p>
            <w:pPr>
              <w:pStyle w:val="TableParagraph"/>
              <w:spacing w:before="237"/>
              <w:ind w:left="249"/>
              <w:rPr>
                <w:rFonts w:ascii="MingLiU_HKSCS-ExtB" w:eastAsia="MingLiU_HKSCS-ExtB"/>
                <w:sz w:val="21"/>
              </w:rPr>
            </w:pPr>
            <w:r>
              <w:rPr>
                <w:rFonts w:ascii="MingLiU_HKSCS-ExtB" w:eastAsia="MingLiU_HKSCS-ExtB"/>
                <w:sz w:val="21"/>
              </w:rPr>
              <w:t>(70</w:t>
            </w:r>
            <w:r>
              <w:rPr>
                <w:rFonts w:ascii="MingLiU_HKSCS-ExtB" w:eastAsia="MingLiU_HKSCS-ExtB"/>
                <w:spacing w:val="-3"/>
                <w:sz w:val="21"/>
              </w:rPr>
              <w:t> </w:t>
            </w:r>
            <w:r>
              <w:rPr>
                <w:sz w:val="21"/>
              </w:rPr>
              <w:t>分</w:t>
            </w:r>
            <w:r>
              <w:rPr>
                <w:rFonts w:ascii="MingLiU_HKSCS-ExtB" w:eastAsia="MingLiU_HKSCS-ExtB"/>
                <w:spacing w:val="-10"/>
                <w:sz w:val="21"/>
              </w:rPr>
              <w:t>)</w:t>
            </w:r>
          </w:p>
        </w:tc>
        <w:tc>
          <w:tcPr>
            <w:tcW w:w="41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7" w:lineRule="auto" w:before="163"/>
              <w:ind w:left="45" w:right="-15"/>
              <w:jc w:val="center"/>
              <w:rPr>
                <w:sz w:val="21"/>
              </w:rPr>
            </w:pPr>
            <w:r>
              <w:rPr>
                <w:spacing w:val="-9"/>
                <w:sz w:val="21"/>
              </w:rPr>
              <w:t>传感器数据获取及触控界面交互设计</w:t>
            </w:r>
            <w:r>
              <w:rPr>
                <w:spacing w:val="-2"/>
                <w:sz w:val="21"/>
              </w:rPr>
              <w:t>（</w:t>
            </w:r>
            <w:r>
              <w:rPr>
                <w:rFonts w:ascii="MingLiU_HKSCS-ExtB" w:eastAsia="MingLiU_HKSCS-ExtB"/>
                <w:spacing w:val="-2"/>
                <w:sz w:val="21"/>
              </w:rPr>
              <w:t>30</w:t>
            </w:r>
            <w:r>
              <w:rPr>
                <w:rFonts w:ascii="MingLiU_HKSCS-ExtB" w:eastAsia="MingLiU_HKSCS-ExtB"/>
                <w:spacing w:val="-50"/>
                <w:sz w:val="21"/>
              </w:rPr>
              <w:t> </w:t>
            </w:r>
            <w:r>
              <w:rPr>
                <w:spacing w:val="-2"/>
                <w:sz w:val="21"/>
              </w:rPr>
              <w:t>分）</w:t>
            </w:r>
            <w:r>
              <w:rPr>
                <w:sz w:val="21"/>
              </w:rPr>
              <w:t>双平台数据传输，控制，显示（</w:t>
            </w:r>
            <w:r>
              <w:rPr>
                <w:rFonts w:ascii="MingLiU_HKSCS-ExtB" w:eastAsia="MingLiU_HKSCS-ExtB"/>
                <w:sz w:val="21"/>
              </w:rPr>
              <w:t>15</w:t>
            </w:r>
            <w:r>
              <w:rPr>
                <w:rFonts w:ascii="MingLiU_HKSCS-ExtB" w:eastAsia="MingLiU_HKSCS-ExtB"/>
                <w:spacing w:val="-44"/>
                <w:sz w:val="21"/>
              </w:rPr>
              <w:t> </w:t>
            </w:r>
            <w:r>
              <w:rPr>
                <w:sz w:val="21"/>
              </w:rPr>
              <w:t>分）</w:t>
            </w:r>
          </w:p>
          <w:p>
            <w:pPr>
              <w:pStyle w:val="TableParagraph"/>
              <w:spacing w:line="249" w:lineRule="auto" w:before="2"/>
              <w:ind w:left="107" w:right="-15"/>
              <w:jc w:val="center"/>
              <w:rPr>
                <w:sz w:val="21"/>
              </w:rPr>
            </w:pPr>
            <w:r>
              <w:rPr>
                <w:rFonts w:ascii="MingLiU_HKSCS-ExtB" w:eastAsia="MingLiU_HKSCS-ExtB"/>
                <w:spacing w:val="-2"/>
                <w:sz w:val="21"/>
              </w:rPr>
              <w:t>ai</w:t>
            </w:r>
            <w:r>
              <w:rPr>
                <w:rFonts w:ascii="MingLiU_HKSCS-ExtB" w:eastAsia="MingLiU_HKSCS-ExtB"/>
                <w:spacing w:val="-53"/>
                <w:sz w:val="21"/>
              </w:rPr>
              <w:t> </w:t>
            </w:r>
            <w:r>
              <w:rPr>
                <w:spacing w:val="-2"/>
                <w:sz w:val="21"/>
              </w:rPr>
              <w:t>模型搭建，数据分析，语音提示（</w:t>
            </w:r>
            <w:r>
              <w:rPr>
                <w:rFonts w:ascii="MingLiU_HKSCS-ExtB" w:eastAsia="MingLiU_HKSCS-ExtB"/>
                <w:spacing w:val="-2"/>
                <w:sz w:val="21"/>
              </w:rPr>
              <w:t>15</w:t>
            </w:r>
            <w:r>
              <w:rPr>
                <w:rFonts w:ascii="MingLiU_HKSCS-ExtB" w:eastAsia="MingLiU_HKSCS-ExtB"/>
                <w:spacing w:val="-53"/>
                <w:sz w:val="21"/>
              </w:rPr>
              <w:t> </w:t>
            </w:r>
            <w:r>
              <w:rPr>
                <w:spacing w:val="-2"/>
                <w:sz w:val="21"/>
              </w:rPr>
              <w:t>分）</w:t>
            </w:r>
            <w:r>
              <w:rPr>
                <w:spacing w:val="-6"/>
                <w:sz w:val="21"/>
              </w:rPr>
              <w:t>语音识别引擎搭建，与 </w:t>
            </w:r>
            <w:r>
              <w:rPr>
                <w:rFonts w:ascii="MingLiU_HKSCS-ExtB" w:eastAsia="MingLiU_HKSCS-ExtB"/>
                <w:spacing w:val="-6"/>
                <w:sz w:val="21"/>
              </w:rPr>
              <w:t>ai</w:t>
            </w:r>
            <w:r>
              <w:rPr>
                <w:rFonts w:ascii="MingLiU_HKSCS-ExtB" w:eastAsia="MingLiU_HKSCS-ExtB"/>
                <w:spacing w:val="-44"/>
                <w:sz w:val="21"/>
              </w:rPr>
              <w:t> </w:t>
            </w:r>
            <w:r>
              <w:rPr>
                <w:spacing w:val="-6"/>
                <w:sz w:val="21"/>
              </w:rPr>
              <w:t>语音交流（</w:t>
            </w:r>
            <w:r>
              <w:rPr>
                <w:rFonts w:ascii="MingLiU_HKSCS-ExtB" w:eastAsia="MingLiU_HKSCS-ExtB"/>
                <w:spacing w:val="-6"/>
                <w:sz w:val="21"/>
              </w:rPr>
              <w:t>10</w:t>
            </w:r>
            <w:r>
              <w:rPr>
                <w:rFonts w:ascii="MingLiU_HKSCS-ExtB" w:eastAsia="MingLiU_HKSCS-ExtB"/>
                <w:spacing w:val="-43"/>
                <w:sz w:val="21"/>
              </w:rPr>
              <w:t> </w:t>
            </w:r>
            <w:r>
              <w:rPr>
                <w:spacing w:val="-6"/>
                <w:sz w:val="21"/>
              </w:rPr>
              <w:t>分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324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8"/>
              <w:ind w:left="254"/>
              <w:rPr>
                <w:sz w:val="21"/>
              </w:rPr>
            </w:pPr>
            <w:r>
              <w:rPr>
                <w:spacing w:val="-3"/>
                <w:sz w:val="21"/>
              </w:rPr>
              <w:t>的数据，并通过 </w:t>
            </w:r>
            <w:r>
              <w:rPr>
                <w:rFonts w:ascii="MingLiU_HKSCS-ExtB" w:eastAsia="MingLiU_HKSCS-ExtB"/>
                <w:spacing w:val="-2"/>
                <w:sz w:val="21"/>
              </w:rPr>
              <w:t>lcd</w:t>
            </w:r>
            <w:r>
              <w:rPr>
                <w:rFonts w:ascii="MingLiU_HKSCS-ExtB" w:eastAsia="MingLiU_HKSCS-ExtB"/>
                <w:spacing w:val="-51"/>
                <w:sz w:val="21"/>
              </w:rPr>
              <w:t> </w:t>
            </w:r>
            <w:r>
              <w:rPr>
                <w:spacing w:val="-4"/>
                <w:sz w:val="21"/>
              </w:rPr>
              <w:t>实时显示</w:t>
            </w:r>
          </w:p>
          <w:p>
            <w:pPr>
              <w:pStyle w:val="TableParagraph"/>
              <w:spacing w:line="620" w:lineRule="atLeast" w:before="4"/>
              <w:ind w:left="105" w:right="-15"/>
              <w:rPr>
                <w:sz w:val="21"/>
              </w:rPr>
            </w:pPr>
            <w:r>
              <w:rPr>
                <w:rFonts w:ascii="MingLiU_HKSCS-ExtB" w:eastAsia="MingLiU_HKSCS-ExtB"/>
                <w:sz w:val="21"/>
              </w:rPr>
              <w:t>ai</w:t>
            </w:r>
            <w:r>
              <w:rPr>
                <w:rFonts w:ascii="MingLiU_HKSCS-ExtB" w:eastAsia="MingLiU_HKSCS-ExtB"/>
                <w:spacing w:val="-52"/>
                <w:sz w:val="21"/>
              </w:rPr>
              <w:t> </w:t>
            </w:r>
            <w:r>
              <w:rPr>
                <w:spacing w:val="-9"/>
                <w:sz w:val="21"/>
              </w:rPr>
              <w:t>模型搭建、语音识别引擎搭建，</w:t>
            </w:r>
            <w:r>
              <w:rPr>
                <w:spacing w:val="-10"/>
                <w:sz w:val="21"/>
              </w:rPr>
              <w:t>实现触控指令操作、</w:t>
            </w:r>
            <w:r>
              <w:rPr>
                <w:rFonts w:ascii="MingLiU_HKSCS-ExtB" w:eastAsia="MingLiU_HKSCS-ExtB"/>
                <w:spacing w:val="-2"/>
                <w:sz w:val="21"/>
              </w:rPr>
              <w:t>ai</w:t>
            </w:r>
            <w:r>
              <w:rPr>
                <w:rFonts w:ascii="MingLiU_HKSCS-ExtB" w:eastAsia="MingLiU_HKSCS-ExtB"/>
                <w:spacing w:val="-47"/>
                <w:sz w:val="21"/>
              </w:rPr>
              <w:t> </w:t>
            </w:r>
            <w:r>
              <w:rPr>
                <w:spacing w:val="-4"/>
                <w:sz w:val="21"/>
              </w:rPr>
              <w:t>语音互动、</w:t>
            </w:r>
          </w:p>
        </w:tc>
      </w:tr>
      <w:tr>
        <w:trPr>
          <w:trHeight w:val="627" w:hRule="atLeast"/>
        </w:trPr>
        <w:tc>
          <w:tcPr>
            <w:tcW w:w="1236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9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45" w:type="dxa"/>
            <w:tcBorders>
              <w:top w:val="nil"/>
            </w:tcBorders>
          </w:tcPr>
          <w:p>
            <w:pPr>
              <w:pStyle w:val="TableParagraph"/>
              <w:spacing w:before="118"/>
              <w:ind w:left="5" w:right="3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检测数据结果分析</w:t>
            </w:r>
          </w:p>
        </w:tc>
      </w:tr>
      <w:tr>
        <w:trPr>
          <w:trHeight w:val="1245" w:hRule="atLeast"/>
        </w:trPr>
        <w:tc>
          <w:tcPr>
            <w:tcW w:w="1236" w:type="dxa"/>
          </w:tcPr>
          <w:p>
            <w:pPr>
              <w:pStyle w:val="TableParagraph"/>
              <w:spacing w:before="116"/>
              <w:ind w:left="196"/>
              <w:rPr>
                <w:sz w:val="21"/>
              </w:rPr>
            </w:pPr>
            <w:r>
              <w:rPr>
                <w:spacing w:val="-7"/>
                <w:sz w:val="21"/>
              </w:rPr>
              <w:t>整体评估</w:t>
            </w:r>
          </w:p>
          <w:p>
            <w:pPr>
              <w:pStyle w:val="TableParagraph"/>
              <w:spacing w:before="237"/>
              <w:ind w:left="170"/>
              <w:rPr>
                <w:sz w:val="21"/>
              </w:rPr>
            </w:pPr>
            <w:r>
              <w:rPr>
                <w:spacing w:val="-2"/>
                <w:sz w:val="21"/>
              </w:rPr>
              <w:t>（</w:t>
            </w:r>
            <w:r>
              <w:rPr>
                <w:rFonts w:ascii="MingLiU_HKSCS-ExtB" w:eastAsia="MingLiU_HKSCS-ExtB"/>
                <w:spacing w:val="-2"/>
                <w:sz w:val="21"/>
              </w:rPr>
              <w:t>10</w:t>
            </w:r>
            <w:r>
              <w:rPr>
                <w:rFonts w:ascii="MingLiU_HKSCS-ExtB" w:eastAsia="MingLiU_HKSCS-ExtB"/>
                <w:spacing w:val="-51"/>
                <w:sz w:val="21"/>
              </w:rPr>
              <w:t> </w:t>
            </w:r>
            <w:r>
              <w:rPr>
                <w:spacing w:val="-2"/>
                <w:sz w:val="21"/>
              </w:rPr>
              <w:t>分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4195" w:type="dxa"/>
          </w:tcPr>
          <w:p>
            <w:pPr>
              <w:pStyle w:val="TableParagraph"/>
              <w:spacing w:before="186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107"/>
              <w:rPr>
                <w:sz w:val="21"/>
              </w:rPr>
            </w:pPr>
            <w:r>
              <w:rPr>
                <w:spacing w:val="-3"/>
                <w:sz w:val="21"/>
              </w:rPr>
              <w:t>成果展示与交互体验</w:t>
            </w:r>
          </w:p>
        </w:tc>
        <w:tc>
          <w:tcPr>
            <w:tcW w:w="3245" w:type="dxa"/>
          </w:tcPr>
          <w:p>
            <w:pPr>
              <w:pStyle w:val="TableParagraph"/>
              <w:spacing w:before="116"/>
              <w:ind w:left="105"/>
              <w:rPr>
                <w:sz w:val="21"/>
              </w:rPr>
            </w:pPr>
            <w:r>
              <w:rPr>
                <w:rFonts w:ascii="MingLiU_HKSCS-ExtB" w:eastAsia="MingLiU_HKSCS-ExtB"/>
                <w:spacing w:val="-2"/>
                <w:sz w:val="21"/>
              </w:rPr>
              <w:t>ai</w:t>
            </w:r>
            <w:r>
              <w:rPr>
                <w:rFonts w:ascii="MingLiU_HKSCS-ExtB" w:eastAsia="MingLiU_HKSCS-ExtB"/>
                <w:spacing w:val="-47"/>
                <w:sz w:val="21"/>
              </w:rPr>
              <w:t> </w:t>
            </w:r>
            <w:r>
              <w:rPr>
                <w:spacing w:val="-3"/>
                <w:sz w:val="21"/>
              </w:rPr>
              <w:t>赋能嵌入式系统人机交互流</w:t>
            </w:r>
          </w:p>
          <w:p>
            <w:pPr>
              <w:pStyle w:val="TableParagraph"/>
              <w:spacing w:before="237"/>
              <w:ind w:left="105"/>
              <w:rPr>
                <w:sz w:val="21"/>
              </w:rPr>
            </w:pPr>
            <w:r>
              <w:rPr>
                <w:spacing w:val="-3"/>
                <w:sz w:val="21"/>
              </w:rPr>
              <w:t>畅，功能完善，界面美观，符合</w:t>
            </w:r>
          </w:p>
        </w:tc>
      </w:tr>
    </w:tbl>
    <w:p>
      <w:pPr>
        <w:pStyle w:val="TableParagraph"/>
        <w:spacing w:after="0"/>
        <w:rPr>
          <w:sz w:val="21"/>
        </w:rPr>
        <w:sectPr>
          <w:pgSz w:w="11910" w:h="16840"/>
          <w:pgMar w:header="0" w:footer="971" w:top="1920" w:bottom="1160" w:left="1417" w:right="1417"/>
        </w:sectPr>
      </w:pPr>
    </w:p>
    <w:tbl>
      <w:tblPr>
        <w:tblW w:w="0" w:type="auto"/>
        <w:jc w:val="left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6"/>
        <w:gridCol w:w="4195"/>
        <w:gridCol w:w="3245"/>
      </w:tblGrid>
      <w:tr>
        <w:trPr>
          <w:trHeight w:val="1250" w:hRule="atLeast"/>
        </w:trPr>
        <w:tc>
          <w:tcPr>
            <w:tcW w:w="1236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4195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245" w:type="dxa"/>
          </w:tcPr>
          <w:p>
            <w:pPr>
              <w:pStyle w:val="TableParagraph"/>
              <w:spacing w:before="118"/>
              <w:ind w:left="105" w:right="-15"/>
              <w:rPr>
                <w:sz w:val="21"/>
              </w:rPr>
            </w:pPr>
            <w:r>
              <w:rPr>
                <w:spacing w:val="-5"/>
                <w:sz w:val="21"/>
              </w:rPr>
              <w:t>场景化应用要求，用户体验良好，</w:t>
            </w:r>
          </w:p>
          <w:p>
            <w:pPr>
              <w:pStyle w:val="TableParagraph"/>
              <w:spacing w:before="237"/>
              <w:ind w:left="105"/>
              <w:rPr>
                <w:sz w:val="21"/>
              </w:rPr>
            </w:pPr>
            <w:r>
              <w:rPr>
                <w:spacing w:val="-7"/>
                <w:sz w:val="21"/>
              </w:rPr>
              <w:t>操作便捷</w:t>
            </w:r>
          </w:p>
        </w:tc>
      </w:tr>
      <w:tr>
        <w:trPr>
          <w:trHeight w:val="954" w:hRule="atLeast"/>
        </w:trPr>
        <w:tc>
          <w:tcPr>
            <w:tcW w:w="8676" w:type="dxa"/>
            <w:gridSpan w:val="3"/>
          </w:tcPr>
          <w:p>
            <w:pPr>
              <w:pStyle w:val="TableParagraph"/>
              <w:spacing w:before="40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ind w:left="107"/>
              <w:rPr>
                <w:sz w:val="21"/>
              </w:rPr>
            </w:pPr>
            <w:r>
              <w:rPr>
                <w:spacing w:val="-2"/>
                <w:sz w:val="21"/>
              </w:rPr>
              <w:t>说明：</w:t>
            </w:r>
            <w:r>
              <w:rPr>
                <w:rFonts w:ascii="MingLiU_HKSCS-ExtB" w:eastAsia="MingLiU_HKSCS-ExtB"/>
                <w:spacing w:val="-2"/>
                <w:sz w:val="21"/>
              </w:rPr>
              <w:t>AI</w:t>
            </w:r>
            <w:r>
              <w:rPr>
                <w:rFonts w:ascii="MingLiU_HKSCS-ExtB" w:eastAsia="MingLiU_HKSCS-ExtB"/>
                <w:spacing w:val="-43"/>
                <w:sz w:val="21"/>
              </w:rPr>
              <w:t> </w:t>
            </w:r>
            <w:r>
              <w:rPr>
                <w:spacing w:val="-2"/>
                <w:sz w:val="21"/>
              </w:rPr>
              <w:t>赋能嵌入式技术</w:t>
            </w:r>
            <w:r>
              <w:rPr>
                <w:rFonts w:ascii="MingLiU_HKSCS-ExtB" w:eastAsia="MingLiU_HKSCS-ExtB"/>
                <w:spacing w:val="-2"/>
                <w:sz w:val="21"/>
              </w:rPr>
              <w:t>.</w:t>
            </w:r>
            <w:r>
              <w:rPr>
                <w:spacing w:val="-2"/>
                <w:sz w:val="21"/>
              </w:rPr>
              <w:t>单片机（</w:t>
            </w:r>
            <w:r>
              <w:rPr>
                <w:rFonts w:ascii="MingLiU_HKSCS-ExtB" w:eastAsia="MingLiU_HKSCS-ExtB"/>
                <w:spacing w:val="-2"/>
                <w:sz w:val="21"/>
              </w:rPr>
              <w:t>16/32</w:t>
            </w:r>
            <w:r>
              <w:rPr>
                <w:rFonts w:ascii="MingLiU_HKSCS-ExtB" w:eastAsia="MingLiU_HKSCS-ExtB"/>
                <w:spacing w:val="-43"/>
                <w:sz w:val="21"/>
              </w:rPr>
              <w:t> </w:t>
            </w:r>
            <w:r>
              <w:rPr>
                <w:spacing w:val="-2"/>
                <w:sz w:val="21"/>
              </w:rPr>
              <w:t>位）</w:t>
            </w:r>
            <w:r>
              <w:rPr>
                <w:spacing w:val="-3"/>
                <w:sz w:val="21"/>
              </w:rPr>
              <w:t>；本科、高职评分标准相同。</w:t>
            </w:r>
          </w:p>
        </w:tc>
      </w:tr>
    </w:tbl>
    <w:p>
      <w:pPr>
        <w:pStyle w:val="BodyText"/>
        <w:ind w:left="0"/>
        <w:rPr>
          <w:rFonts w:ascii="Arial"/>
          <w:b/>
        </w:rPr>
      </w:pPr>
    </w:p>
    <w:p>
      <w:pPr>
        <w:pStyle w:val="BodyText"/>
        <w:spacing w:before="55"/>
        <w:ind w:left="0"/>
        <w:rPr>
          <w:rFonts w:ascii="Arial"/>
          <w:b/>
        </w:rPr>
      </w:pPr>
    </w:p>
    <w:p>
      <w:pPr>
        <w:spacing w:before="0"/>
        <w:ind w:left="383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（三）</w:t>
      </w:r>
      <w:r>
        <w:rPr>
          <w:b/>
          <w:spacing w:val="-4"/>
          <w:sz w:val="28"/>
        </w:rPr>
        <w:t>评分方法</w:t>
      </w:r>
    </w:p>
    <w:p>
      <w:pPr>
        <w:pStyle w:val="BodyText"/>
        <w:spacing w:line="290" w:lineRule="auto" w:before="108"/>
        <w:ind w:right="379" w:firstLine="561"/>
        <w:jc w:val="both"/>
      </w:pPr>
      <w:r>
        <w:rPr>
          <w:spacing w:val="-4"/>
        </w:rPr>
        <w:t>为提高比赛质量，技能赛根据各个赛项的特点，由专家组、参赛高校、支撑企业等协同完成。专家依据各个赛项的评分标准，根据各参赛小组的答题、技能操作、文档等材料，进行评分和排序，保留成绩前 </w:t>
      </w:r>
      <w:r>
        <w:rPr>
          <w:rFonts w:ascii="MingLiU_HKSCS-ExtB" w:eastAsia="MingLiU_HKSCS-ExtB"/>
          <w:spacing w:val="-2"/>
        </w:rPr>
        <w:t>60%</w:t>
      </w:r>
      <w:r>
        <w:rPr>
          <w:spacing w:val="-2"/>
        </w:rPr>
        <w:t>的参赛队伍参与评奖。纪委和仲裁委员会全程参与监督，确保比赛的公平公正。</w:t>
      </w:r>
    </w:p>
    <w:p>
      <w:pPr>
        <w:pStyle w:val="Heading1"/>
      </w:pPr>
      <w:r>
        <w:rPr>
          <w:spacing w:val="-2"/>
        </w:rPr>
        <w:t>八、奖项设定</w:t>
      </w:r>
    </w:p>
    <w:p>
      <w:pPr>
        <w:pStyle w:val="BodyText"/>
        <w:spacing w:line="290" w:lineRule="auto" w:before="155"/>
        <w:ind w:right="379" w:firstLine="559"/>
        <w:jc w:val="both"/>
      </w:pPr>
      <w:r>
        <w:rPr>
          <w:spacing w:val="-4"/>
        </w:rPr>
        <w:t>大赛设一等奖、二等奖、三等奖三种奖项。各等次奖分别占省赛</w:t>
      </w:r>
      <w:r>
        <w:rPr>
          <w:spacing w:val="-2"/>
        </w:rPr>
        <w:t>参赛队伍数的 </w:t>
      </w:r>
      <w:r>
        <w:rPr>
          <w:rFonts w:ascii="MingLiU_HKSCS-ExtB" w:eastAsia="MingLiU_HKSCS-ExtB"/>
          <w:spacing w:val="-2"/>
        </w:rPr>
        <w:t>10%</w:t>
      </w:r>
      <w:r>
        <w:rPr>
          <w:spacing w:val="-2"/>
        </w:rPr>
        <w:t>、</w:t>
      </w:r>
      <w:r>
        <w:rPr>
          <w:rFonts w:ascii="MingLiU_HKSCS-ExtB" w:eastAsia="MingLiU_HKSCS-ExtB"/>
          <w:spacing w:val="-2"/>
        </w:rPr>
        <w:t>20%</w:t>
      </w:r>
      <w:r>
        <w:rPr>
          <w:spacing w:val="-2"/>
        </w:rPr>
        <w:t>、</w:t>
      </w:r>
      <w:r>
        <w:rPr>
          <w:rFonts w:ascii="MingLiU_HKSCS-ExtB" w:eastAsia="MingLiU_HKSCS-ExtB"/>
          <w:spacing w:val="-2"/>
        </w:rPr>
        <w:t>30%</w:t>
      </w:r>
      <w:r>
        <w:rPr>
          <w:spacing w:val="-2"/>
        </w:rPr>
        <w:t>。获一等奖参赛队伍的第一指导教师授</w:t>
      </w:r>
      <w:r>
        <w:rPr>
          <w:spacing w:val="-4"/>
        </w:rPr>
        <w:t>予优秀指导教师。组织参赛队数满额、参赛队获一等奖且对大赛有突</w:t>
      </w:r>
      <w:r>
        <w:rPr>
          <w:spacing w:val="-8"/>
        </w:rPr>
        <w:t>出贡献的学校有机会获得优秀组织奖，优秀组织奖不超过总参赛学校</w:t>
      </w:r>
      <w:r>
        <w:rPr/>
        <w:t>的 </w:t>
      </w:r>
      <w:r>
        <w:rPr>
          <w:rFonts w:ascii="MingLiU_HKSCS-ExtB" w:eastAsia="MingLiU_HKSCS-ExtB"/>
        </w:rPr>
        <w:t>20%</w:t>
      </w:r>
      <w:r>
        <w:rPr/>
        <w:t>。</w:t>
      </w:r>
    </w:p>
    <w:p>
      <w:pPr>
        <w:pStyle w:val="Heading1"/>
        <w:spacing w:before="451"/>
      </w:pPr>
      <w:r>
        <w:rPr>
          <w:spacing w:val="-2"/>
        </w:rPr>
        <w:t>九、赛事安全</w:t>
      </w:r>
    </w:p>
    <w:p>
      <w:pPr>
        <w:pStyle w:val="BodyText"/>
        <w:spacing w:line="290" w:lineRule="auto" w:before="155"/>
        <w:ind w:right="379" w:firstLine="559"/>
        <w:jc w:val="both"/>
      </w:pPr>
      <w:r>
        <w:rPr>
          <w:spacing w:val="-7"/>
        </w:rPr>
        <w:t>赛事安全是大赛一切工作顺利开展的先决条件，是赛项筹备和运</w:t>
      </w:r>
      <w:r>
        <w:rPr>
          <w:spacing w:val="-10"/>
        </w:rPr>
        <w:t>行工作必须考虑的核心问题。大赛组委会采取切实有效措施保证大赛</w:t>
      </w:r>
      <w:r>
        <w:rPr>
          <w:spacing w:val="-2"/>
        </w:rPr>
        <w:t>期间参赛选手、指导教师、工作人员的人身安全。</w:t>
      </w:r>
    </w:p>
    <w:p>
      <w:pPr>
        <w:pStyle w:val="BodyText"/>
        <w:spacing w:after="0" w:line="290" w:lineRule="auto"/>
        <w:jc w:val="both"/>
        <w:sectPr>
          <w:type w:val="continuous"/>
          <w:pgSz w:w="11910" w:h="16840"/>
          <w:pgMar w:header="0" w:footer="971" w:top="1400" w:bottom="1160" w:left="1417" w:right="1417"/>
        </w:sectPr>
      </w:pPr>
    </w:p>
    <w:p>
      <w:pPr>
        <w:pStyle w:val="Heading2"/>
        <w:spacing w:before="3"/>
      </w:pPr>
      <w:r>
        <w:rPr>
          <w:spacing w:val="-2"/>
        </w:rPr>
        <w:t>（一）</w:t>
      </w:r>
      <w:r>
        <w:rPr>
          <w:spacing w:val="-4"/>
        </w:rPr>
        <w:t>比赛环境</w:t>
      </w:r>
    </w:p>
    <w:p>
      <w:pPr>
        <w:pStyle w:val="BodyText"/>
        <w:spacing w:line="290" w:lineRule="auto" w:before="36"/>
        <w:ind w:right="379" w:firstLine="559"/>
        <w:jc w:val="both"/>
      </w:pPr>
      <w:r>
        <w:rPr>
          <w:spacing w:val="-6"/>
        </w:rPr>
        <w:t>比赛赛场由各参赛学校提供支持并按赛项相关要求设置，各参赛</w:t>
      </w:r>
      <w:r>
        <w:rPr>
          <w:spacing w:val="-9"/>
        </w:rPr>
        <w:t>学校负责各自参赛学生的安全，提供参赛学生比赛所需设备及比赛环</w:t>
      </w:r>
      <w:r>
        <w:rPr>
          <w:spacing w:val="-2"/>
        </w:rPr>
        <w:t>境，专家线上评阅场所由安庆师范大学提供。</w:t>
      </w:r>
    </w:p>
    <w:p>
      <w:pPr>
        <w:pStyle w:val="Heading2"/>
        <w:spacing w:before="82"/>
      </w:pPr>
      <w:r>
        <w:rPr>
          <w:spacing w:val="-2"/>
        </w:rPr>
        <w:t>（二）</w:t>
      </w:r>
      <w:r>
        <w:rPr>
          <w:spacing w:val="-4"/>
        </w:rPr>
        <w:t>组队责任</w:t>
      </w:r>
    </w:p>
    <w:p>
      <w:pPr>
        <w:pStyle w:val="BodyText"/>
        <w:spacing w:line="290" w:lineRule="auto" w:before="36"/>
        <w:ind w:right="379" w:firstLine="559"/>
        <w:jc w:val="both"/>
      </w:pPr>
      <w:r>
        <w:rPr>
          <w:spacing w:val="-4"/>
        </w:rPr>
        <w:t>参赛队报名由各学校赛事联系人统一负责，队名、参赛人员等信息以有学校印章的报名表为准，对于增加、更改参赛选手或指导教师</w:t>
      </w:r>
      <w:r>
        <w:rPr>
          <w:spacing w:val="-9"/>
        </w:rPr>
        <w:t>姓名等重要信息的一般不予受理，特殊情况需提供盖有所在学校教务</w:t>
      </w:r>
      <w:r>
        <w:rPr>
          <w:spacing w:val="-7"/>
        </w:rPr>
        <w:t>部门公章的名单变更说明，并在开赛 </w:t>
      </w:r>
      <w:r>
        <w:rPr>
          <w:rFonts w:ascii="MingLiU_HKSCS-ExtB" w:eastAsia="MingLiU_HKSCS-ExtB"/>
          <w:spacing w:val="-6"/>
        </w:rPr>
        <w:t>2</w:t>
      </w:r>
      <w:r>
        <w:rPr>
          <w:rFonts w:ascii="MingLiU_HKSCS-ExtB" w:eastAsia="MingLiU_HKSCS-ExtB"/>
          <w:spacing w:val="-29"/>
        </w:rPr>
        <w:t> </w:t>
      </w:r>
      <w:r>
        <w:rPr>
          <w:spacing w:val="-6"/>
        </w:rPr>
        <w:t>天前（</w:t>
      </w:r>
      <w:r>
        <w:rPr>
          <w:rFonts w:ascii="MingLiU_HKSCS-ExtB" w:eastAsia="MingLiU_HKSCS-ExtB"/>
          <w:spacing w:val="-6"/>
        </w:rPr>
        <w:t>5</w:t>
      </w:r>
      <w:r>
        <w:rPr>
          <w:rFonts w:ascii="MingLiU_HKSCS-ExtB" w:eastAsia="MingLiU_HKSCS-ExtB"/>
          <w:spacing w:val="-29"/>
        </w:rPr>
        <w:t> </w:t>
      </w:r>
      <w:r>
        <w:rPr>
          <w:spacing w:val="-8"/>
        </w:rPr>
        <w:t>月 </w:t>
      </w:r>
      <w:r>
        <w:rPr>
          <w:rFonts w:ascii="MingLiU_HKSCS-ExtB" w:eastAsia="MingLiU_HKSCS-ExtB"/>
          <w:spacing w:val="-6"/>
        </w:rPr>
        <w:t>8</w:t>
      </w:r>
      <w:r>
        <w:rPr>
          <w:rFonts w:ascii="MingLiU_HKSCS-ExtB" w:eastAsia="MingLiU_HKSCS-ExtB"/>
          <w:spacing w:val="-29"/>
        </w:rPr>
        <w:t> </w:t>
      </w:r>
      <w:r>
        <w:rPr>
          <w:spacing w:val="-6"/>
        </w:rPr>
        <w:t>日前）提交到大</w:t>
      </w:r>
      <w:r>
        <w:rPr>
          <w:spacing w:val="-2"/>
        </w:rPr>
        <w:t>赛秘书处。</w:t>
      </w:r>
    </w:p>
    <w:p>
      <w:pPr>
        <w:pStyle w:val="BodyText"/>
        <w:spacing w:line="290" w:lineRule="auto"/>
        <w:ind w:right="99" w:firstLine="559"/>
      </w:pPr>
      <w:r>
        <w:rPr>
          <w:spacing w:val="-7"/>
        </w:rPr>
        <w:t>各赛项参赛队伍总数不得超出该赛项报名规定要求，如超出者将</w:t>
      </w:r>
      <w:r>
        <w:rPr>
          <w:spacing w:val="40"/>
        </w:rPr>
        <w:t> </w:t>
      </w:r>
      <w:r>
        <w:rPr>
          <w:spacing w:val="-12"/>
        </w:rPr>
        <w:t>重新申报，否则按照上报名单的先后顺序将排在后面的队伍自动删除。</w:t>
      </w:r>
    </w:p>
    <w:p>
      <w:pPr>
        <w:pStyle w:val="Heading2"/>
        <w:spacing w:before="81"/>
      </w:pPr>
      <w:r>
        <w:rPr>
          <w:spacing w:val="-2"/>
        </w:rPr>
        <w:t>（三）</w:t>
      </w:r>
      <w:r>
        <w:rPr>
          <w:spacing w:val="-4"/>
        </w:rPr>
        <w:t>应急处理</w:t>
      </w:r>
    </w:p>
    <w:p>
      <w:pPr>
        <w:pStyle w:val="BodyText"/>
        <w:spacing w:line="290" w:lineRule="auto" w:before="35"/>
        <w:ind w:right="286" w:firstLine="559"/>
        <w:jc w:val="both"/>
      </w:pPr>
      <w:r>
        <w:rPr>
          <w:spacing w:val="-11"/>
        </w:rPr>
        <w:t>比赛期间发生意外事故，发现者应第一时间报告大赛组委会和所</w:t>
      </w:r>
      <w:r>
        <w:rPr>
          <w:spacing w:val="-2"/>
        </w:rPr>
        <w:t>在学校，同时采取措施避免事态扩大。大赛组委会应立即启动预案予以解决。赛项出现重大安全问题可以向大赛组委会申请弃赛或停赛。</w:t>
      </w:r>
    </w:p>
    <w:p>
      <w:pPr>
        <w:pStyle w:val="Heading1"/>
        <w:spacing w:before="450"/>
      </w:pPr>
      <w:r>
        <w:rPr>
          <w:spacing w:val="-2"/>
        </w:rPr>
        <w:t>十、竞赛须知</w:t>
      </w:r>
    </w:p>
    <w:p>
      <w:pPr>
        <w:pStyle w:val="Heading2"/>
        <w:spacing w:before="158"/>
      </w:pPr>
      <w:r>
        <w:rPr>
          <w:spacing w:val="-2"/>
        </w:rPr>
        <w:t>（一）</w:t>
      </w:r>
      <w:r>
        <w:rPr>
          <w:spacing w:val="-4"/>
        </w:rPr>
        <w:t>参赛队须知</w:t>
      </w:r>
    </w:p>
    <w:p>
      <w:pPr>
        <w:pStyle w:val="BodyText"/>
        <w:spacing w:line="290" w:lineRule="auto" w:before="107"/>
        <w:ind w:right="379" w:firstLine="559"/>
      </w:pPr>
      <w:r>
        <w:rPr>
          <w:spacing w:val="-5"/>
        </w:rPr>
        <w:t>应按照竞赛规定组队，每支队伍的队员数不得超过 </w:t>
      </w:r>
      <w:r>
        <w:rPr>
          <w:rFonts w:ascii="MingLiU_HKSCS-ExtB" w:eastAsia="MingLiU_HKSCS-ExtB"/>
          <w:spacing w:val="-4"/>
        </w:rPr>
        <w:t>3</w:t>
      </w:r>
      <w:r>
        <w:rPr>
          <w:rFonts w:ascii="MingLiU_HKSCS-ExtB" w:eastAsia="MingLiU_HKSCS-ExtB"/>
          <w:spacing w:val="-72"/>
        </w:rPr>
        <w:t> </w:t>
      </w:r>
      <w:r>
        <w:rPr>
          <w:spacing w:val="-4"/>
        </w:rPr>
        <w:t>人，队员中</w:t>
      </w:r>
      <w:r>
        <w:rPr>
          <w:spacing w:val="-2"/>
        </w:rPr>
        <w:t>的本科、专科不得混合组队，否则视为无效。</w:t>
      </w:r>
    </w:p>
    <w:p>
      <w:pPr>
        <w:pStyle w:val="BodyText"/>
        <w:spacing w:line="515" w:lineRule="exact"/>
        <w:ind w:left="942"/>
      </w:pPr>
      <w:r>
        <w:rPr>
          <w:spacing w:val="-7"/>
        </w:rPr>
        <w:t>参赛成员不遵守赛场纪律，不服从工作人员的安排与要求，有下</w:t>
      </w:r>
    </w:p>
    <w:p>
      <w:pPr>
        <w:pStyle w:val="BodyText"/>
        <w:spacing w:after="0" w:line="515" w:lineRule="exact"/>
        <w:sectPr>
          <w:pgSz w:w="11910" w:h="16840"/>
          <w:pgMar w:header="0" w:footer="971" w:top="1400" w:bottom="1160" w:left="1417" w:right="1417"/>
        </w:sectPr>
      </w:pPr>
    </w:p>
    <w:p>
      <w:pPr>
        <w:pStyle w:val="BodyText"/>
        <w:spacing w:before="15"/>
      </w:pPr>
      <w:r>
        <w:rPr>
          <w:spacing w:val="-3"/>
        </w:rPr>
        <w:t>列行为之一的，取消其竞赛资格。</w:t>
      </w:r>
    </w:p>
    <w:p>
      <w:pPr>
        <w:pStyle w:val="BodyText"/>
        <w:spacing w:before="108"/>
        <w:ind w:left="942"/>
      </w:pPr>
      <w:r>
        <w:rPr>
          <w:rFonts w:ascii="MingLiU_HKSCS-ExtB" w:eastAsia="MingLiU_HKSCS-ExtB"/>
          <w:spacing w:val="-2"/>
        </w:rPr>
        <w:t>1</w:t>
      </w:r>
      <w:r>
        <w:rPr>
          <w:spacing w:val="-3"/>
        </w:rPr>
        <w:t>、携带规定以外的材料或者电子设备参加竞赛；</w:t>
      </w:r>
    </w:p>
    <w:p>
      <w:pPr>
        <w:pStyle w:val="BodyText"/>
        <w:spacing w:before="108"/>
        <w:ind w:left="942"/>
      </w:pPr>
      <w:r>
        <w:rPr>
          <w:rFonts w:ascii="MingLiU_HKSCS-ExtB" w:eastAsia="MingLiU_HKSCS-ExtB"/>
          <w:spacing w:val="-2"/>
        </w:rPr>
        <w:t>2</w:t>
      </w:r>
      <w:r>
        <w:rPr>
          <w:spacing w:val="-3"/>
        </w:rPr>
        <w:t>、由他人冒名代替参加比赛；</w:t>
      </w:r>
    </w:p>
    <w:p>
      <w:pPr>
        <w:pStyle w:val="BodyText"/>
        <w:spacing w:before="107"/>
        <w:ind w:left="942"/>
      </w:pPr>
      <w:r>
        <w:rPr>
          <w:rFonts w:ascii="MingLiU_HKSCS-ExtB" w:eastAsia="MingLiU_HKSCS-ExtB"/>
          <w:spacing w:val="-2"/>
        </w:rPr>
        <w:t>3</w:t>
      </w:r>
      <w:r>
        <w:rPr>
          <w:spacing w:val="-3"/>
        </w:rPr>
        <w:t>、拒绝、妨碍工作人员履行管理职责；</w:t>
      </w:r>
    </w:p>
    <w:p>
      <w:pPr>
        <w:pStyle w:val="BodyText"/>
        <w:spacing w:before="108"/>
        <w:ind w:left="942"/>
      </w:pPr>
      <w:r>
        <w:rPr>
          <w:rFonts w:ascii="MingLiU_HKSCS-ExtB" w:eastAsia="MingLiU_HKSCS-ExtB"/>
          <w:spacing w:val="-2"/>
        </w:rPr>
        <w:t>4</w:t>
      </w:r>
      <w:r>
        <w:rPr>
          <w:spacing w:val="-3"/>
        </w:rPr>
        <w:t>、其他形式违纪、作弊行为。</w:t>
      </w:r>
    </w:p>
    <w:p>
      <w:pPr>
        <w:pStyle w:val="Heading2"/>
        <w:spacing w:before="192"/>
      </w:pPr>
      <w:r>
        <w:rPr>
          <w:spacing w:val="-2"/>
        </w:rPr>
        <w:t>（二）</w:t>
      </w:r>
      <w:r>
        <w:rPr>
          <w:spacing w:val="-4"/>
        </w:rPr>
        <w:t>指导教师须知</w:t>
      </w:r>
    </w:p>
    <w:p>
      <w:pPr>
        <w:pStyle w:val="BodyText"/>
        <w:spacing w:line="290" w:lineRule="auto" w:before="36"/>
        <w:ind w:right="377" w:firstLine="559"/>
      </w:pPr>
      <w:r>
        <w:rPr>
          <w:rFonts w:ascii="MingLiU_HKSCS-ExtB" w:eastAsia="MingLiU_HKSCS-ExtB"/>
          <w:spacing w:val="-2"/>
        </w:rPr>
        <w:t>1</w:t>
      </w:r>
      <w:r>
        <w:rPr>
          <w:spacing w:val="-2"/>
        </w:rPr>
        <w:t>、为使大赛顺利推进，保证活动的组织效率，各参赛队伍应严格按照赛项日程表设定的时间节点完成相应的工作。</w:t>
      </w:r>
    </w:p>
    <w:p>
      <w:pPr>
        <w:pStyle w:val="BodyText"/>
        <w:spacing w:line="290" w:lineRule="auto"/>
        <w:ind w:right="377" w:firstLine="559"/>
      </w:pPr>
      <w:r>
        <w:rPr>
          <w:rFonts w:ascii="MingLiU_HKSCS-ExtB" w:eastAsia="MingLiU_HKSCS-ExtB"/>
          <w:spacing w:val="-2"/>
        </w:rPr>
        <w:t>2</w:t>
      </w:r>
      <w:r>
        <w:rPr>
          <w:spacing w:val="-2"/>
        </w:rPr>
        <w:t>、领队和指导老师在竞赛期间应密切关注安徽省高校物联网应</w:t>
      </w:r>
      <w:r>
        <w:rPr/>
        <w:t>用创新大赛工作群（</w:t>
      </w:r>
      <w:r>
        <w:rPr>
          <w:rFonts w:ascii="MingLiU_HKSCS-ExtB" w:eastAsia="MingLiU_HKSCS-ExtB"/>
        </w:rPr>
        <w:t>QQ</w:t>
      </w:r>
      <w:r>
        <w:rPr>
          <w:rFonts w:ascii="MingLiU_HKSCS-ExtB" w:eastAsia="MingLiU_HKSCS-ExtB"/>
          <w:spacing w:val="-45"/>
        </w:rPr>
        <w:t> </w:t>
      </w:r>
      <w:r>
        <w:rPr/>
        <w:t>群：</w:t>
      </w:r>
      <w:r>
        <w:rPr>
          <w:rFonts w:ascii="MingLiU_HKSCS-ExtB" w:eastAsia="MingLiU_HKSCS-ExtB"/>
        </w:rPr>
        <w:t>811140437</w:t>
      </w:r>
      <w:r>
        <w:rPr/>
        <w:t>）发布的通知等文件。</w:t>
      </w:r>
    </w:p>
    <w:p>
      <w:pPr>
        <w:pStyle w:val="Heading2"/>
        <w:spacing w:before="82"/>
      </w:pPr>
      <w:r>
        <w:rPr>
          <w:spacing w:val="-2"/>
        </w:rPr>
        <w:t>（三）</w:t>
      </w:r>
      <w:r>
        <w:rPr>
          <w:spacing w:val="-4"/>
        </w:rPr>
        <w:t>参赛选手须知</w:t>
      </w:r>
    </w:p>
    <w:p>
      <w:pPr>
        <w:pStyle w:val="BodyText"/>
        <w:spacing w:before="36"/>
        <w:ind w:left="942"/>
      </w:pPr>
      <w:r>
        <w:rPr>
          <w:rFonts w:ascii="MingLiU_HKSCS-ExtB" w:eastAsia="MingLiU_HKSCS-ExtB"/>
          <w:spacing w:val="-2"/>
        </w:rPr>
        <w:t>1</w:t>
      </w:r>
      <w:r>
        <w:rPr>
          <w:spacing w:val="-3"/>
        </w:rPr>
        <w:t>、必须携带自己的学生证进入赛场。</w:t>
      </w:r>
    </w:p>
    <w:p>
      <w:pPr>
        <w:pStyle w:val="BodyText"/>
        <w:spacing w:before="108"/>
        <w:ind w:left="942"/>
      </w:pPr>
      <w:r>
        <w:rPr>
          <w:rFonts w:ascii="MingLiU_HKSCS-ExtB" w:eastAsia="MingLiU_HKSCS-ExtB"/>
          <w:spacing w:val="-2"/>
        </w:rPr>
        <w:t>2</w:t>
      </w:r>
      <w:r>
        <w:rPr>
          <w:spacing w:val="-3"/>
        </w:rPr>
        <w:t>、不准在比赛场所吸烟和大声喧哗。</w:t>
      </w:r>
    </w:p>
    <w:p>
      <w:pPr>
        <w:pStyle w:val="BodyText"/>
        <w:spacing w:line="290" w:lineRule="auto" w:before="108"/>
        <w:ind w:right="377" w:firstLine="559"/>
        <w:jc w:val="both"/>
      </w:pPr>
      <w:r>
        <w:rPr>
          <w:rFonts w:ascii="MingLiU_HKSCS-ExtB" w:eastAsia="MingLiU_HKSCS-ExtB"/>
          <w:spacing w:val="-2"/>
        </w:rPr>
        <w:t>3</w:t>
      </w:r>
      <w:r>
        <w:rPr>
          <w:spacing w:val="-2"/>
        </w:rPr>
        <w:t>、除按赛项规程规定的比赛用具外，不能携带与参赛无关的物</w:t>
      </w:r>
      <w:r>
        <w:rPr>
          <w:spacing w:val="-4"/>
        </w:rPr>
        <w:t>品入场，禁止使用通讯工具，也不得将由各校提供的工具、材料等物</w:t>
      </w:r>
      <w:r>
        <w:rPr>
          <w:spacing w:val="-2"/>
        </w:rPr>
        <w:t>品带出赛场。</w:t>
      </w:r>
    </w:p>
    <w:p>
      <w:pPr>
        <w:pStyle w:val="BodyText"/>
        <w:spacing w:line="515" w:lineRule="exact"/>
        <w:ind w:left="942"/>
      </w:pPr>
      <w:r>
        <w:rPr>
          <w:rFonts w:ascii="MingLiU_HKSCS-ExtB" w:eastAsia="MingLiU_HKSCS-ExtB"/>
          <w:spacing w:val="-2"/>
        </w:rPr>
        <w:t>4</w:t>
      </w:r>
      <w:r>
        <w:rPr>
          <w:spacing w:val="-3"/>
        </w:rPr>
        <w:t>、服从命令，听从指挥，在规定区域活动，不得擅自离开。</w:t>
      </w:r>
    </w:p>
    <w:p>
      <w:pPr>
        <w:pStyle w:val="BodyText"/>
        <w:spacing w:line="290" w:lineRule="auto" w:before="108"/>
        <w:ind w:right="377" w:firstLine="559"/>
      </w:pPr>
      <w:r>
        <w:rPr>
          <w:rFonts w:ascii="MingLiU_HKSCS-ExtB" w:eastAsia="MingLiU_HKSCS-ExtB"/>
          <w:spacing w:val="-2"/>
        </w:rPr>
        <w:t>5</w:t>
      </w:r>
      <w:r>
        <w:rPr>
          <w:spacing w:val="-2"/>
        </w:rPr>
        <w:t>、必须按照安全操作规程正确操作仪器设备，停止工作时应关闭设备电源开关。</w:t>
      </w:r>
    </w:p>
    <w:p>
      <w:pPr>
        <w:pStyle w:val="BodyText"/>
        <w:spacing w:line="290" w:lineRule="auto"/>
        <w:ind w:right="377" w:firstLine="559"/>
        <w:jc w:val="both"/>
      </w:pPr>
      <w:r>
        <w:rPr>
          <w:rFonts w:ascii="MingLiU_HKSCS-ExtB" w:eastAsia="MingLiU_HKSCS-ExtB"/>
          <w:spacing w:val="-2"/>
        </w:rPr>
        <w:t>6</w:t>
      </w:r>
      <w:r>
        <w:rPr>
          <w:spacing w:val="-2"/>
        </w:rPr>
        <w:t>、对比赛过程安排或比赛结果有异议，须通过领队向仲裁委员</w:t>
      </w:r>
      <w:r>
        <w:rPr>
          <w:spacing w:val="-4"/>
        </w:rPr>
        <w:t>会反映。对于违反赛场纪律、扰乱赛场秩序者，将视情节轻重给予处</w:t>
      </w:r>
      <w:r>
        <w:rPr>
          <w:spacing w:val="-2"/>
        </w:rPr>
        <w:t>理，直至终止比赛、取消比赛资格。</w:t>
      </w:r>
    </w:p>
    <w:p>
      <w:pPr>
        <w:pStyle w:val="BodyText"/>
        <w:spacing w:after="0" w:line="290" w:lineRule="auto"/>
        <w:jc w:val="both"/>
        <w:sectPr>
          <w:pgSz w:w="11910" w:h="16840"/>
          <w:pgMar w:header="0" w:footer="971" w:top="1460" w:bottom="1160" w:left="1417" w:right="1417"/>
        </w:sectPr>
      </w:pPr>
    </w:p>
    <w:p>
      <w:pPr>
        <w:pStyle w:val="BodyText"/>
        <w:spacing w:line="290" w:lineRule="auto" w:before="15"/>
        <w:ind w:right="377" w:firstLine="559"/>
      </w:pPr>
      <w:r>
        <w:rPr>
          <w:rFonts w:ascii="MingLiU_HKSCS-ExtB" w:eastAsia="MingLiU_HKSCS-ExtB"/>
          <w:spacing w:val="-2"/>
        </w:rPr>
        <w:t>7</w:t>
      </w:r>
      <w:r>
        <w:rPr>
          <w:spacing w:val="-2"/>
        </w:rPr>
        <w:t>、在比赛期间发生特殊情况时，要保持镇静，服从现场工作人员指挥。遇紧急情况，服从安保人员统一指挥，有序撤离。</w:t>
      </w:r>
    </w:p>
    <w:p>
      <w:pPr>
        <w:pStyle w:val="BodyText"/>
        <w:spacing w:line="290" w:lineRule="auto"/>
        <w:ind w:right="377" w:firstLine="559"/>
      </w:pPr>
      <w:r>
        <w:rPr>
          <w:rFonts w:ascii="MingLiU_HKSCS-ExtB" w:eastAsia="MingLiU_HKSCS-ExtB"/>
          <w:spacing w:val="-2"/>
        </w:rPr>
        <w:t>8</w:t>
      </w:r>
      <w:r>
        <w:rPr>
          <w:spacing w:val="-2"/>
        </w:rPr>
        <w:t>、要妥善保管好自身携带的物品，贵重物品（含钱款）妥善存</w:t>
      </w:r>
      <w:r>
        <w:rPr>
          <w:spacing w:val="-6"/>
        </w:rPr>
        <w:t>放。</w:t>
      </w:r>
    </w:p>
    <w:p>
      <w:pPr>
        <w:pStyle w:val="Heading2"/>
        <w:spacing w:before="82"/>
      </w:pPr>
      <w:r>
        <w:rPr>
          <w:spacing w:val="-2"/>
        </w:rPr>
        <w:t>（四）</w:t>
      </w:r>
      <w:r>
        <w:rPr>
          <w:spacing w:val="-4"/>
        </w:rPr>
        <w:t>工作人员须知</w:t>
      </w:r>
    </w:p>
    <w:p>
      <w:pPr>
        <w:pStyle w:val="BodyText"/>
        <w:spacing w:line="290" w:lineRule="auto" w:before="36"/>
        <w:ind w:right="240" w:firstLine="559"/>
      </w:pPr>
      <w:r>
        <w:rPr>
          <w:rFonts w:ascii="MingLiU_HKSCS-ExtB" w:eastAsia="MingLiU_HKSCS-ExtB"/>
          <w:spacing w:val="-4"/>
        </w:rPr>
        <w:t>1</w:t>
      </w:r>
      <w:r>
        <w:rPr>
          <w:spacing w:val="-4"/>
        </w:rPr>
        <w:t>、全体工作人员要按分工准时到岗，服从大赛组委会统一指挥，</w:t>
      </w:r>
      <w:r>
        <w:rPr>
          <w:spacing w:val="-2"/>
        </w:rPr>
        <w:t>认真履行职责，尽职尽责做好比赛服务工作，保证比赛顺利进行。</w:t>
      </w:r>
    </w:p>
    <w:p>
      <w:pPr>
        <w:pStyle w:val="BodyText"/>
        <w:spacing w:line="290" w:lineRule="auto"/>
        <w:ind w:right="377" w:firstLine="559"/>
        <w:jc w:val="both"/>
      </w:pPr>
      <w:r>
        <w:rPr>
          <w:rFonts w:ascii="MingLiU_HKSCS-ExtB" w:eastAsia="MingLiU_HKSCS-ExtB"/>
          <w:spacing w:val="-2"/>
        </w:rPr>
        <w:t>2</w:t>
      </w:r>
      <w:r>
        <w:rPr>
          <w:spacing w:val="-2"/>
        </w:rPr>
        <w:t>、赛项评委专家组在大赛组委会领导下工作，负责本赛项的竞</w:t>
      </w:r>
      <w:r>
        <w:rPr>
          <w:spacing w:val="-4"/>
        </w:rPr>
        <w:t>赛技术指导、评审和比赛结果总结。技术人员要始终在现场，随时准</w:t>
      </w:r>
      <w:r>
        <w:rPr>
          <w:spacing w:val="-2"/>
        </w:rPr>
        <w:t>备解决竞赛中出现的技术问题。</w:t>
      </w:r>
    </w:p>
    <w:p>
      <w:pPr>
        <w:pStyle w:val="BodyText"/>
        <w:spacing w:line="290" w:lineRule="auto"/>
        <w:ind w:right="377" w:firstLine="559"/>
      </w:pPr>
      <w:r>
        <w:rPr>
          <w:rFonts w:ascii="MingLiU_HKSCS-ExtB" w:eastAsia="MingLiU_HKSCS-ExtB"/>
          <w:spacing w:val="-2"/>
        </w:rPr>
        <w:t>3</w:t>
      </w:r>
      <w:r>
        <w:rPr>
          <w:spacing w:val="-2"/>
        </w:rPr>
        <w:t>、工作人员不能在赛场内接听或打电话，评委在比赛期间关闭</w:t>
      </w:r>
      <w:r>
        <w:rPr>
          <w:spacing w:val="-4"/>
        </w:rPr>
        <w:t>手机。</w:t>
      </w:r>
    </w:p>
    <w:p>
      <w:pPr>
        <w:pStyle w:val="BodyText"/>
        <w:spacing w:line="290" w:lineRule="auto"/>
        <w:ind w:right="377" w:firstLine="559"/>
      </w:pPr>
      <w:r>
        <w:rPr>
          <w:rFonts w:ascii="MingLiU_HKSCS-ExtB" w:eastAsia="MingLiU_HKSCS-ExtB"/>
          <w:spacing w:val="-2"/>
        </w:rPr>
        <w:t>4</w:t>
      </w:r>
      <w:r>
        <w:rPr>
          <w:spacing w:val="-2"/>
        </w:rPr>
        <w:t>、工作人员对于参赛选手的问题，需按大赛规定或正确的操作技术来解答，不清楚的要及时请示组委会，不得随意答复。</w:t>
      </w:r>
    </w:p>
    <w:p>
      <w:pPr>
        <w:pStyle w:val="BodyText"/>
        <w:spacing w:line="290" w:lineRule="auto"/>
        <w:ind w:right="377" w:firstLine="559"/>
      </w:pPr>
      <w:r>
        <w:rPr>
          <w:rFonts w:ascii="MingLiU_HKSCS-ExtB" w:eastAsia="MingLiU_HKSCS-ExtB"/>
          <w:spacing w:val="-2"/>
        </w:rPr>
        <w:t>5</w:t>
      </w:r>
      <w:r>
        <w:rPr>
          <w:spacing w:val="-2"/>
        </w:rPr>
        <w:t>、如遇突发事件，要及时向组委会和大赛秘书处报告，同时做好疏导工作，避免重大事故发生，确保大赛圆满成功。</w:t>
      </w:r>
    </w:p>
    <w:p>
      <w:pPr>
        <w:pStyle w:val="BodyText"/>
        <w:spacing w:line="290" w:lineRule="auto"/>
        <w:ind w:right="377" w:firstLine="559"/>
      </w:pPr>
      <w:r>
        <w:rPr>
          <w:rFonts w:ascii="MingLiU_HKSCS-ExtB" w:eastAsia="MingLiU_HKSCS-ExtB"/>
          <w:spacing w:val="-2"/>
        </w:rPr>
        <w:t>6</w:t>
      </w:r>
      <w:r>
        <w:rPr>
          <w:spacing w:val="-2"/>
        </w:rPr>
        <w:t>、留档备案。检查各部分材料包括裁判判分和最终成绩等，要有专家、评委和仲裁委签字，帮助核对材料和密封存档。</w:t>
      </w:r>
    </w:p>
    <w:p>
      <w:pPr>
        <w:pStyle w:val="Heading1"/>
        <w:spacing w:before="444"/>
      </w:pPr>
      <w:r>
        <w:rPr>
          <w:spacing w:val="-2"/>
        </w:rPr>
        <w:t>十一、申诉与仲裁</w:t>
      </w:r>
    </w:p>
    <w:p>
      <w:pPr>
        <w:pStyle w:val="Heading2"/>
        <w:spacing w:before="158"/>
      </w:pPr>
      <w:r>
        <w:rPr>
          <w:spacing w:val="-2"/>
        </w:rPr>
        <w:t>（一）</w:t>
      </w:r>
      <w:r>
        <w:rPr>
          <w:spacing w:val="-6"/>
        </w:rPr>
        <w:t>申诉</w:t>
      </w:r>
    </w:p>
    <w:p>
      <w:pPr>
        <w:pStyle w:val="BodyText"/>
        <w:spacing w:before="108"/>
        <w:ind w:left="942"/>
      </w:pPr>
      <w:r>
        <w:rPr>
          <w:spacing w:val="-7"/>
        </w:rPr>
        <w:t>各赛项在比赛过程中若出现有失公正或有关人员违规等现象，代</w:t>
      </w:r>
    </w:p>
    <w:p>
      <w:pPr>
        <w:pStyle w:val="BodyText"/>
        <w:spacing w:after="0"/>
        <w:sectPr>
          <w:pgSz w:w="11910" w:h="16840"/>
          <w:pgMar w:header="0" w:footer="971" w:top="1460" w:bottom="1160" w:left="1417" w:right="1417"/>
        </w:sectPr>
      </w:pPr>
    </w:p>
    <w:p>
      <w:pPr>
        <w:pStyle w:val="BodyText"/>
        <w:spacing w:before="15"/>
      </w:pPr>
      <w:r>
        <w:rPr>
          <w:spacing w:val="-3"/>
        </w:rPr>
        <w:t>表队领队可在比赛结束后 </w:t>
      </w:r>
      <w:r>
        <w:rPr>
          <w:rFonts w:ascii="MingLiU_HKSCS-ExtB" w:eastAsia="MingLiU_HKSCS-ExtB"/>
          <w:spacing w:val="-2"/>
        </w:rPr>
        <w:t>24</w:t>
      </w:r>
      <w:r>
        <w:rPr>
          <w:rFonts w:ascii="MingLiU_HKSCS-ExtB" w:eastAsia="MingLiU_HKSCS-ExtB"/>
          <w:spacing w:val="-63"/>
        </w:rPr>
        <w:t> </w:t>
      </w:r>
      <w:r>
        <w:rPr>
          <w:spacing w:val="-3"/>
        </w:rPr>
        <w:t>时之内向仲裁委员会提出书面申诉。</w:t>
      </w:r>
    </w:p>
    <w:p>
      <w:pPr>
        <w:pStyle w:val="Heading2"/>
        <w:spacing w:before="192"/>
      </w:pPr>
      <w:r>
        <w:rPr>
          <w:spacing w:val="-2"/>
        </w:rPr>
        <w:t>（二）</w:t>
      </w:r>
      <w:r>
        <w:rPr>
          <w:spacing w:val="-6"/>
        </w:rPr>
        <w:t>仲裁</w:t>
      </w:r>
    </w:p>
    <w:p>
      <w:pPr>
        <w:pStyle w:val="BodyText"/>
        <w:spacing w:line="290" w:lineRule="auto" w:before="36"/>
        <w:ind w:right="379" w:firstLine="559"/>
        <w:jc w:val="both"/>
      </w:pPr>
      <w:r>
        <w:rPr>
          <w:spacing w:val="-2"/>
        </w:rPr>
        <w:t>仲裁委员会在接到申诉后的 </w:t>
      </w:r>
      <w:r>
        <w:rPr>
          <w:rFonts w:ascii="MingLiU_HKSCS-ExtB" w:eastAsia="MingLiU_HKSCS-ExtB"/>
        </w:rPr>
        <w:t>48</w:t>
      </w:r>
      <w:r>
        <w:rPr>
          <w:rFonts w:ascii="MingLiU_HKSCS-ExtB" w:eastAsia="MingLiU_HKSCS-ExtB"/>
          <w:spacing w:val="-35"/>
        </w:rPr>
        <w:t> </w:t>
      </w:r>
      <w:r>
        <w:rPr/>
        <w:t>小时内组织复议，并及时反馈复</w:t>
      </w:r>
      <w:r>
        <w:rPr>
          <w:spacing w:val="-4"/>
        </w:rPr>
        <w:t>议结果。仲裁委员会的仲裁结果为最终结果。如有参赛队因提起申诉或对申诉处理意见不服而停止比赛甚至滋事，均按弃权处理。比赛不</w:t>
      </w:r>
      <w:r>
        <w:rPr>
          <w:spacing w:val="-2"/>
        </w:rPr>
        <w:t>因申诉事件而组织重赛。</w:t>
      </w:r>
    </w:p>
    <w:p>
      <w:pPr>
        <w:pStyle w:val="Heading1"/>
      </w:pPr>
      <w:r>
        <w:rPr>
          <w:spacing w:val="-2"/>
        </w:rPr>
        <w:t>十二、竞赛联系</w:t>
      </w:r>
    </w:p>
    <w:p>
      <w:pPr>
        <w:pStyle w:val="BodyText"/>
        <w:spacing w:before="85"/>
        <w:ind w:left="942"/>
        <w:rPr>
          <w:rFonts w:ascii="MingLiU_HKSCS-ExtB" w:eastAsia="MingLiU_HKSCS-ExtB"/>
        </w:rPr>
      </w:pPr>
      <w:r>
        <w:rPr>
          <w:spacing w:val="15"/>
        </w:rPr>
        <w:t>大赛工作</w:t>
      </w:r>
      <w:r>
        <w:rPr>
          <w:rFonts w:ascii="MingLiU_HKSCS-ExtB" w:eastAsia="MingLiU_HKSCS-ExtB"/>
        </w:rPr>
        <w:t>QQ</w:t>
      </w:r>
      <w:r>
        <w:rPr>
          <w:rFonts w:ascii="MingLiU_HKSCS-ExtB" w:eastAsia="MingLiU_HKSCS-ExtB"/>
          <w:spacing w:val="-71"/>
        </w:rPr>
        <w:t> </w:t>
      </w:r>
      <w:r>
        <w:rPr>
          <w:spacing w:val="-1"/>
        </w:rPr>
        <w:t>群：</w:t>
      </w:r>
      <w:r>
        <w:rPr>
          <w:rFonts w:ascii="MingLiU_HKSCS-ExtB" w:eastAsia="MingLiU_HKSCS-ExtB"/>
          <w:spacing w:val="-2"/>
        </w:rPr>
        <w:t>811140437</w:t>
      </w:r>
    </w:p>
    <w:p>
      <w:pPr>
        <w:pStyle w:val="BodyText"/>
        <w:spacing w:line="331" w:lineRule="auto" w:before="58"/>
        <w:ind w:left="1851" w:right="2223" w:hanging="910"/>
        <w:rPr>
          <w:rFonts w:ascii="MingLiU_HKSCS-ExtB" w:eastAsia="MingLiU_HKSCS-ExtB"/>
        </w:rPr>
      </w:pPr>
      <w:r>
        <w:rPr>
          <w:spacing w:val="-2"/>
        </w:rPr>
        <w:t>大赛网站：</w:t>
      </w:r>
      <w:r>
        <w:rPr>
          <w:rFonts w:ascii="MingLiU_HKSCS-ExtB" w:eastAsia="MingLiU_HKSCS-ExtB"/>
          <w:spacing w:val="-2"/>
        </w:rPr>
        <w:t>https://ahie.org.cn/ </w:t>
      </w:r>
      <w:hyperlink r:id="rId7">
        <w:r>
          <w:rPr>
            <w:rFonts w:ascii="MingLiU_HKSCS-ExtB" w:eastAsia="MingLiU_HKSCS-ExtB"/>
            <w:spacing w:val="-2"/>
          </w:rPr>
          <w:t>http://www.acf.org.cn</w:t>
        </w:r>
      </w:hyperlink>
    </w:p>
    <w:p>
      <w:pPr>
        <w:pStyle w:val="BodyText"/>
        <w:spacing w:line="411" w:lineRule="exact"/>
        <w:ind w:left="942"/>
      </w:pPr>
      <w:r>
        <w:rPr>
          <w:spacing w:val="-4"/>
        </w:rPr>
        <w:t>联系人：</w:t>
      </w:r>
    </w:p>
    <w:p>
      <w:pPr>
        <w:pStyle w:val="BodyText"/>
        <w:tabs>
          <w:tab w:pos="5703" w:val="left" w:leader="none"/>
        </w:tabs>
        <w:spacing w:line="266" w:lineRule="auto" w:before="60"/>
        <w:ind w:left="2063" w:right="1826"/>
        <w:jc w:val="both"/>
        <w:rPr>
          <w:rFonts w:ascii="MingLiU_HKSCS-ExtB" w:eastAsia="MingLiU_HKSCS-ExtB"/>
        </w:rPr>
      </w:pPr>
      <w:r>
        <w:rPr/>
        <w:t>卫</w:t>
      </w:r>
      <w:r>
        <w:rPr>
          <w:spacing w:val="80"/>
          <w:w w:val="150"/>
        </w:rPr>
        <w:t> </w:t>
      </w:r>
      <w:r>
        <w:rPr/>
        <w:t>兵（合肥师范学院）</w:t>
      </w:r>
      <w:r>
        <w:rPr>
          <w:spacing w:val="80"/>
          <w:w w:val="150"/>
        </w:rPr>
        <w:t>  </w:t>
      </w:r>
      <w:r>
        <w:rPr>
          <w:rFonts w:ascii="MingLiU_HKSCS-ExtB" w:eastAsia="MingLiU_HKSCS-ExtB"/>
        </w:rPr>
        <w:t>18055159936</w:t>
      </w:r>
      <w:r>
        <w:rPr>
          <w:spacing w:val="-2"/>
        </w:rPr>
        <w:t>卢建良（中国科学技术大学）</w:t>
      </w:r>
      <w:r>
        <w:rPr>
          <w:rFonts w:ascii="MingLiU_HKSCS-ExtB" w:eastAsia="MingLiU_HKSCS-ExtB"/>
          <w:spacing w:val="-2"/>
        </w:rPr>
        <w:t>18949834903</w:t>
      </w:r>
      <w:r>
        <w:rPr/>
        <w:t>张</w:t>
      </w:r>
      <w:r>
        <w:rPr>
          <w:spacing w:val="50"/>
        </w:rPr>
        <w:t>  </w:t>
      </w:r>
      <w:r>
        <w:rPr/>
        <w:t>胜（合肥大学</w:t>
      </w:r>
      <w:r>
        <w:rPr>
          <w:spacing w:val="-10"/>
        </w:rPr>
        <w:t>）</w:t>
      </w:r>
      <w:r>
        <w:rPr>
          <w:rFonts w:ascii="Times New Roman" w:eastAsia="Times New Roman"/>
        </w:rPr>
        <w:tab/>
      </w:r>
      <w:r>
        <w:rPr>
          <w:rFonts w:ascii="MingLiU_HKSCS-ExtB" w:eastAsia="MingLiU_HKSCS-ExtB"/>
          <w:spacing w:val="-2"/>
        </w:rPr>
        <w:t>13637055493</w:t>
      </w:r>
    </w:p>
    <w:p>
      <w:pPr>
        <w:pStyle w:val="BodyText"/>
        <w:spacing w:before="4"/>
        <w:ind w:left="2063"/>
        <w:jc w:val="both"/>
        <w:rPr>
          <w:rFonts w:ascii="MingLiU_HKSCS-ExtB" w:eastAsia="MingLiU_HKSCS-ExtB"/>
        </w:rPr>
      </w:pPr>
      <w:r>
        <w:rPr>
          <w:spacing w:val="13"/>
        </w:rPr>
        <w:t>吴海峰 </w:t>
      </w:r>
      <w:r>
        <w:rPr>
          <w:rFonts w:ascii="MingLiU_HKSCS-ExtB" w:eastAsia="MingLiU_HKSCS-ExtB"/>
        </w:rPr>
        <w:t>(</w:t>
      </w:r>
      <w:r>
        <w:rPr/>
        <w:t>安庆师范大学</w:t>
      </w:r>
      <w:r>
        <w:rPr>
          <w:rFonts w:ascii="MingLiU_HKSCS-ExtB" w:eastAsia="MingLiU_HKSCS-ExtB"/>
        </w:rPr>
        <w:t>)</w:t>
      </w:r>
      <w:r>
        <w:rPr>
          <w:rFonts w:ascii="Times New Roman" w:eastAsia="Times New Roman"/>
          <w:spacing w:val="67"/>
          <w:w w:val="150"/>
        </w:rPr>
        <w:t>    </w:t>
      </w:r>
      <w:r>
        <w:rPr>
          <w:rFonts w:ascii="MingLiU_HKSCS-ExtB" w:eastAsia="MingLiU_HKSCS-ExtB"/>
          <w:spacing w:val="-2"/>
        </w:rPr>
        <w:t>17755664713</w:t>
      </w:r>
    </w:p>
    <w:p>
      <w:pPr>
        <w:pStyle w:val="BodyText"/>
        <w:spacing w:before="58"/>
        <w:ind w:left="942"/>
        <w:jc w:val="both"/>
        <w:rPr>
          <w:rFonts w:ascii="MingLiU_HKSCS-ExtB" w:eastAsia="MingLiU_HKSCS-ExtB"/>
        </w:rPr>
      </w:pPr>
      <w:r>
        <w:rPr>
          <w:spacing w:val="21"/>
        </w:rPr>
        <w:t>邮  箱：</w:t>
      </w:r>
      <w:hyperlink r:id="rId6">
        <w:r>
          <w:rPr>
            <w:rFonts w:ascii="MingLiU_HKSCS-ExtB" w:eastAsia="MingLiU_HKSCS-ExtB"/>
            <w:spacing w:val="-2"/>
          </w:rPr>
          <w:t>ahes_contest@163.com</w:t>
        </w:r>
      </w:hyperlink>
    </w:p>
    <w:p>
      <w:pPr>
        <w:pStyle w:val="BodyText"/>
        <w:spacing w:before="217"/>
        <w:ind w:left="0"/>
        <w:rPr>
          <w:rFonts w:ascii="MingLiU_HKSCS-ExtB"/>
        </w:rPr>
      </w:pPr>
    </w:p>
    <w:p>
      <w:pPr>
        <w:pStyle w:val="BodyText"/>
      </w:pPr>
      <w:r>
        <w:rPr>
          <w:spacing w:val="-5"/>
        </w:rPr>
        <w:t>附件：</w:t>
      </w:r>
    </w:p>
    <w:p>
      <w:pPr>
        <w:spacing w:line="427" w:lineRule="auto" w:before="263"/>
        <w:ind w:left="1052" w:right="2223" w:hanging="245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1417319</wp:posOffset>
            </wp:positionH>
            <wp:positionV relativeFrom="paragraph">
              <wp:posOffset>145174</wp:posOffset>
            </wp:positionV>
            <wp:extent cx="152400" cy="155448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1"/>
        </w:rPr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1417319</wp:posOffset>
            </wp:positionH>
            <wp:positionV relativeFrom="paragraph">
              <wp:posOffset>456070</wp:posOffset>
            </wp:positionV>
            <wp:extent cx="152400" cy="150876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0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1"/>
        </w:rPr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1417319</wp:posOffset>
            </wp:positionH>
            <wp:positionV relativeFrom="paragraph">
              <wp:posOffset>757822</wp:posOffset>
            </wp:positionV>
            <wp:extent cx="152400" cy="153923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3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eastAsia="SimSun"/>
          <w:spacing w:val="80"/>
          <w:w w:val="150"/>
          <w:sz w:val="21"/>
          <w:u w:val="single"/>
        </w:rPr>
        <w:t> </w:t>
      </w:r>
      <w:r>
        <w:rPr>
          <w:rFonts w:ascii="SimSun" w:eastAsia="SimSun"/>
          <w:spacing w:val="-17"/>
          <w:sz w:val="21"/>
          <w:u w:val="single"/>
        </w:rPr>
        <w:t>附件 </w:t>
      </w:r>
      <w:r>
        <w:rPr>
          <w:rFonts w:ascii="Times New Roman" w:eastAsia="Times New Roman"/>
          <w:sz w:val="21"/>
          <w:u w:val="single"/>
        </w:rPr>
        <w:t>1</w:t>
      </w:r>
      <w:r>
        <w:rPr>
          <w:rFonts w:ascii="SimSun" w:eastAsia="SimSun"/>
          <w:sz w:val="21"/>
          <w:u w:val="single"/>
        </w:rPr>
        <w:t>：</w:t>
      </w:r>
      <w:r>
        <w:rPr>
          <w:rFonts w:ascii="Times New Roman" w:eastAsia="Times New Roman"/>
          <w:sz w:val="21"/>
          <w:u w:val="single"/>
        </w:rPr>
        <w:t>2026</w:t>
      </w:r>
      <w:r>
        <w:rPr>
          <w:rFonts w:ascii="Times New Roman" w:eastAsia="Times New Roman"/>
          <w:spacing w:val="-6"/>
          <w:sz w:val="21"/>
          <w:u w:val="single"/>
        </w:rPr>
        <w:t> </w:t>
      </w:r>
      <w:r>
        <w:rPr>
          <w:rFonts w:ascii="SimSun" w:eastAsia="SimSun"/>
          <w:sz w:val="21"/>
          <w:u w:val="single"/>
        </w:rPr>
        <w:t>年安徽省高校物联网应用创新大赛报名汇总表</w:t>
      </w:r>
      <w:r>
        <w:rPr>
          <w:rFonts w:ascii="Times New Roman" w:eastAsia="Times New Roman"/>
          <w:sz w:val="21"/>
          <w:u w:val="single"/>
        </w:rPr>
        <w:t>.xls</w:t>
      </w:r>
      <w:r>
        <w:rPr>
          <w:rFonts w:ascii="SimSun" w:eastAsia="SimSun"/>
          <w:color w:val="333333"/>
          <w:spacing w:val="-17"/>
          <w:sz w:val="21"/>
          <w:u w:val="single" w:color="333333"/>
        </w:rPr>
        <w:t>附件 </w:t>
      </w:r>
      <w:r>
        <w:rPr>
          <w:rFonts w:ascii="Times New Roman" w:eastAsia="Times New Roman"/>
          <w:color w:val="333333"/>
          <w:spacing w:val="-2"/>
          <w:sz w:val="21"/>
          <w:u w:val="single" w:color="333333"/>
        </w:rPr>
        <w:t>2</w:t>
      </w:r>
      <w:r>
        <w:rPr>
          <w:rFonts w:ascii="SimSun" w:eastAsia="SimSun"/>
          <w:color w:val="333333"/>
          <w:spacing w:val="-2"/>
          <w:sz w:val="21"/>
          <w:u w:val="single" w:color="333333"/>
        </w:rPr>
        <w:t>：</w:t>
      </w:r>
      <w:r>
        <w:rPr>
          <w:rFonts w:ascii="Times New Roman" w:eastAsia="Times New Roman"/>
          <w:color w:val="333333"/>
          <w:spacing w:val="-2"/>
          <w:sz w:val="21"/>
          <w:u w:val="single" w:color="333333"/>
        </w:rPr>
        <w:t>2026</w:t>
      </w:r>
      <w:r>
        <w:rPr>
          <w:rFonts w:ascii="Times New Roman" w:eastAsia="Times New Roman"/>
          <w:color w:val="333333"/>
          <w:spacing w:val="7"/>
          <w:sz w:val="21"/>
          <w:u w:val="single" w:color="333333"/>
        </w:rPr>
        <w:t> </w:t>
      </w:r>
      <w:r>
        <w:rPr>
          <w:rFonts w:ascii="SimSun" w:eastAsia="SimSun"/>
          <w:color w:val="333333"/>
          <w:spacing w:val="-2"/>
          <w:sz w:val="21"/>
          <w:u w:val="single" w:color="333333"/>
        </w:rPr>
        <w:t>年安徽省高校物联网应用创新大赛参赛承诺书</w:t>
      </w:r>
      <w:r>
        <w:rPr>
          <w:rFonts w:ascii="Times New Roman" w:eastAsia="Times New Roman"/>
          <w:color w:val="333333"/>
          <w:spacing w:val="-4"/>
          <w:sz w:val="21"/>
          <w:u w:val="single" w:color="333333"/>
        </w:rPr>
        <w:t>.pdf</w:t>
      </w:r>
    </w:p>
    <w:p>
      <w:pPr>
        <w:spacing w:before="2"/>
        <w:ind w:left="1052" w:right="0" w:firstLine="0"/>
        <w:jc w:val="left"/>
        <w:rPr>
          <w:rFonts w:ascii="Times New Roman" w:eastAsia="Times New Roman"/>
          <w:sz w:val="21"/>
        </w:rPr>
      </w:pPr>
      <w:r>
        <w:rPr>
          <w:rFonts w:ascii="SimSun" w:eastAsia="SimSun"/>
          <w:color w:val="333333"/>
          <w:spacing w:val="-16"/>
          <w:sz w:val="21"/>
          <w:u w:val="single" w:color="333333"/>
        </w:rPr>
        <w:t>附件 </w:t>
      </w:r>
      <w:r>
        <w:rPr>
          <w:rFonts w:ascii="Times New Roman" w:eastAsia="Times New Roman"/>
          <w:color w:val="333333"/>
          <w:spacing w:val="-2"/>
          <w:sz w:val="21"/>
          <w:u w:val="single" w:color="333333"/>
        </w:rPr>
        <w:t>3</w:t>
      </w:r>
      <w:r>
        <w:rPr>
          <w:rFonts w:ascii="SimSun" w:eastAsia="SimSun"/>
          <w:color w:val="333333"/>
          <w:spacing w:val="-2"/>
          <w:sz w:val="21"/>
          <w:u w:val="single" w:color="333333"/>
        </w:rPr>
        <w:t>：</w:t>
      </w:r>
      <w:r>
        <w:rPr>
          <w:rFonts w:ascii="Times New Roman" w:eastAsia="Times New Roman"/>
          <w:color w:val="333333"/>
          <w:spacing w:val="-2"/>
          <w:sz w:val="21"/>
          <w:u w:val="single" w:color="333333"/>
        </w:rPr>
        <w:t>2026</w:t>
      </w:r>
      <w:r>
        <w:rPr>
          <w:rFonts w:ascii="Times New Roman" w:eastAsia="Times New Roman"/>
          <w:color w:val="333333"/>
          <w:spacing w:val="7"/>
          <w:sz w:val="21"/>
          <w:u w:val="single" w:color="333333"/>
        </w:rPr>
        <w:t> </w:t>
      </w:r>
      <w:r>
        <w:rPr>
          <w:rFonts w:ascii="SimSun" w:eastAsia="SimSun"/>
          <w:color w:val="333333"/>
          <w:spacing w:val="-2"/>
          <w:sz w:val="21"/>
          <w:u w:val="single" w:color="333333"/>
        </w:rPr>
        <w:t>年安徽省高校物联网应用创新大赛器材与场地要求</w:t>
      </w:r>
      <w:r>
        <w:rPr>
          <w:rFonts w:ascii="Times New Roman" w:eastAsia="Times New Roman"/>
          <w:color w:val="333333"/>
          <w:spacing w:val="-4"/>
          <w:sz w:val="21"/>
          <w:u w:val="single" w:color="333333"/>
        </w:rPr>
        <w:t>.pdf</w:t>
      </w:r>
    </w:p>
    <w:p>
      <w:pPr>
        <w:spacing w:line="427" w:lineRule="auto" w:before="211"/>
        <w:ind w:left="1052" w:right="963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1417319</wp:posOffset>
            </wp:positionH>
            <wp:positionV relativeFrom="paragraph">
              <wp:posOffset>112201</wp:posOffset>
            </wp:positionV>
            <wp:extent cx="152400" cy="155447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5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1"/>
        </w:rPr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1417319</wp:posOffset>
            </wp:positionH>
            <wp:positionV relativeFrom="paragraph">
              <wp:posOffset>423097</wp:posOffset>
            </wp:positionV>
            <wp:extent cx="152400" cy="150875"/>
            <wp:effectExtent l="0" t="0" r="0" b="0"/>
            <wp:wrapNone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eastAsia="SimSun"/>
          <w:color w:val="333333"/>
          <w:spacing w:val="-17"/>
          <w:sz w:val="21"/>
          <w:u w:val="single" w:color="333333"/>
        </w:rPr>
        <w:t>附件 </w:t>
      </w:r>
      <w:r>
        <w:rPr>
          <w:rFonts w:ascii="Times New Roman" w:eastAsia="Times New Roman"/>
          <w:color w:val="333333"/>
          <w:sz w:val="21"/>
          <w:u w:val="single" w:color="333333"/>
        </w:rPr>
        <w:t>4</w:t>
      </w:r>
      <w:r>
        <w:rPr>
          <w:rFonts w:ascii="SimSun" w:eastAsia="SimSun"/>
          <w:color w:val="333333"/>
          <w:sz w:val="21"/>
          <w:u w:val="single" w:color="333333"/>
        </w:rPr>
        <w:t>：</w:t>
      </w:r>
      <w:r>
        <w:rPr>
          <w:rFonts w:ascii="Times New Roman" w:eastAsia="Times New Roman"/>
          <w:color w:val="333333"/>
          <w:sz w:val="21"/>
          <w:u w:val="single" w:color="333333"/>
        </w:rPr>
        <w:t>2026</w:t>
      </w:r>
      <w:r>
        <w:rPr>
          <w:rFonts w:ascii="Times New Roman" w:eastAsia="Times New Roman"/>
          <w:color w:val="333333"/>
          <w:spacing w:val="-14"/>
          <w:sz w:val="21"/>
          <w:u w:val="single" w:color="333333"/>
        </w:rPr>
        <w:t> </w:t>
      </w:r>
      <w:r>
        <w:rPr>
          <w:rFonts w:ascii="SimSun" w:eastAsia="SimSun"/>
          <w:color w:val="333333"/>
          <w:sz w:val="21"/>
          <w:u w:val="single" w:color="333333"/>
        </w:rPr>
        <w:t>年安徽省高校物联网应用创新大赛计算机组成与设计赛项</w:t>
      </w:r>
      <w:r>
        <w:rPr>
          <w:rFonts w:ascii="Times New Roman" w:eastAsia="Times New Roman"/>
          <w:color w:val="333333"/>
          <w:sz w:val="21"/>
          <w:u w:val="single" w:color="333333"/>
        </w:rPr>
        <w:t>.pdf</w:t>
      </w:r>
      <w:r>
        <w:rPr>
          <w:rFonts w:ascii="SimSun" w:eastAsia="SimSun"/>
          <w:color w:val="333333"/>
          <w:sz w:val="21"/>
          <w:u w:val="single" w:color="333333"/>
        </w:rPr>
        <w:t>附</w:t>
      </w:r>
      <w:r>
        <w:rPr>
          <w:rFonts w:ascii="SimSun" w:eastAsia="SimSun"/>
          <w:color w:val="333333"/>
          <w:spacing w:val="-9"/>
          <w:sz w:val="21"/>
          <w:u w:val="single" w:color="333333"/>
        </w:rPr>
        <w:t>件 </w:t>
      </w:r>
      <w:r>
        <w:rPr>
          <w:rFonts w:ascii="Times New Roman" w:eastAsia="Times New Roman"/>
          <w:color w:val="333333"/>
          <w:sz w:val="21"/>
          <w:u w:val="single" w:color="333333"/>
        </w:rPr>
        <w:t>5</w:t>
      </w:r>
      <w:r>
        <w:rPr>
          <w:rFonts w:ascii="SimSun" w:eastAsia="SimSun"/>
          <w:color w:val="333333"/>
          <w:sz w:val="21"/>
          <w:u w:val="single" w:color="333333"/>
        </w:rPr>
        <w:t>：</w:t>
      </w:r>
      <w:r>
        <w:rPr>
          <w:rFonts w:ascii="Times New Roman" w:eastAsia="Times New Roman"/>
          <w:color w:val="333333"/>
          <w:sz w:val="21"/>
          <w:u w:val="single" w:color="333333"/>
        </w:rPr>
        <w:t>2026 </w:t>
      </w:r>
      <w:r>
        <w:rPr>
          <w:rFonts w:ascii="SimSun" w:eastAsia="SimSun"/>
          <w:color w:val="333333"/>
          <w:sz w:val="21"/>
          <w:u w:val="single" w:color="333333"/>
        </w:rPr>
        <w:t>年安徽省高校物联网应用创新大赛工业互联网数智应用赛项</w:t>
      </w:r>
      <w:r>
        <w:rPr>
          <w:rFonts w:ascii="Times New Roman" w:eastAsia="Times New Roman"/>
          <w:color w:val="333333"/>
          <w:sz w:val="21"/>
          <w:u w:val="single" w:color="333333"/>
        </w:rPr>
        <w:t>.pdf</w:t>
      </w:r>
    </w:p>
    <w:p>
      <w:pPr>
        <w:spacing w:after="0" w:line="427" w:lineRule="auto"/>
        <w:jc w:val="left"/>
        <w:rPr>
          <w:rFonts w:ascii="Times New Roman" w:eastAsia="Times New Roman"/>
          <w:sz w:val="21"/>
        </w:rPr>
        <w:sectPr>
          <w:pgSz w:w="11910" w:h="16840"/>
          <w:pgMar w:header="0" w:footer="971" w:top="1460" w:bottom="1160" w:left="1417" w:right="1417"/>
        </w:sectPr>
      </w:pPr>
    </w:p>
    <w:p>
      <w:pPr>
        <w:spacing w:line="427" w:lineRule="auto" w:before="49"/>
        <w:ind w:left="1052" w:right="543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sz w:val="21"/>
        </w:rPr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1417319</wp:posOffset>
            </wp:positionH>
            <wp:positionV relativeFrom="paragraph">
              <wp:posOffset>9525</wp:posOffset>
            </wp:positionV>
            <wp:extent cx="152400" cy="155448"/>
            <wp:effectExtent l="0" t="0" r="0" b="0"/>
            <wp:wrapNone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1"/>
        </w:rPr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1417319</wp:posOffset>
            </wp:positionH>
            <wp:positionV relativeFrom="paragraph">
              <wp:posOffset>320420</wp:posOffset>
            </wp:positionV>
            <wp:extent cx="152400" cy="150875"/>
            <wp:effectExtent l="0" t="0" r="0" b="0"/>
            <wp:wrapNone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eastAsia="SimSun"/>
          <w:color w:val="333333"/>
          <w:spacing w:val="-17"/>
          <w:sz w:val="21"/>
          <w:u w:val="single" w:color="333333"/>
        </w:rPr>
        <w:t>附件 </w:t>
      </w:r>
      <w:r>
        <w:rPr>
          <w:rFonts w:ascii="Times New Roman" w:eastAsia="Times New Roman"/>
          <w:color w:val="333333"/>
          <w:sz w:val="21"/>
          <w:u w:val="single" w:color="333333"/>
        </w:rPr>
        <w:t>6</w:t>
      </w:r>
      <w:r>
        <w:rPr>
          <w:rFonts w:ascii="SimSun" w:eastAsia="SimSun"/>
          <w:color w:val="333333"/>
          <w:sz w:val="21"/>
          <w:u w:val="single" w:color="333333"/>
        </w:rPr>
        <w:t>：</w:t>
      </w:r>
      <w:r>
        <w:rPr>
          <w:rFonts w:ascii="Times New Roman" w:eastAsia="Times New Roman"/>
          <w:color w:val="333333"/>
          <w:sz w:val="21"/>
          <w:u w:val="single" w:color="333333"/>
        </w:rPr>
        <w:t>2026</w:t>
      </w:r>
      <w:r>
        <w:rPr>
          <w:rFonts w:ascii="Times New Roman" w:eastAsia="Times New Roman"/>
          <w:color w:val="333333"/>
          <w:spacing w:val="-14"/>
          <w:sz w:val="21"/>
          <w:u w:val="single" w:color="333333"/>
        </w:rPr>
        <w:t> </w:t>
      </w:r>
      <w:r>
        <w:rPr>
          <w:rFonts w:ascii="SimSun" w:eastAsia="SimSun"/>
          <w:color w:val="333333"/>
          <w:sz w:val="21"/>
          <w:u w:val="single" w:color="333333"/>
        </w:rPr>
        <w:t>年安徽省高校物联网应用创新大赛嵌入式系统智能硬件开发赛项</w:t>
      </w:r>
      <w:r>
        <w:rPr>
          <w:rFonts w:ascii="Times New Roman" w:eastAsia="Times New Roman"/>
          <w:color w:val="333333"/>
          <w:sz w:val="21"/>
          <w:u w:val="single" w:color="333333"/>
        </w:rPr>
        <w:t>.pdf</w:t>
      </w:r>
      <w:r>
        <w:rPr>
          <w:rFonts w:ascii="SimSun" w:eastAsia="SimSun"/>
          <w:color w:val="333333"/>
          <w:spacing w:val="-209"/>
          <w:sz w:val="21"/>
          <w:u w:val="single" w:color="333333"/>
        </w:rPr>
        <w:t>附</w:t>
      </w:r>
      <w:r>
        <w:rPr>
          <w:rFonts w:ascii="SimSun" w:eastAsia="SimSun"/>
          <w:color w:val="333333"/>
          <w:spacing w:val="-6"/>
          <w:sz w:val="21"/>
          <w:u w:val="single" w:color="333333"/>
        </w:rPr>
        <w:t>件 </w:t>
      </w:r>
      <w:r>
        <w:rPr>
          <w:rFonts w:ascii="Times New Roman" w:eastAsia="Times New Roman"/>
          <w:color w:val="333333"/>
          <w:sz w:val="21"/>
          <w:u w:val="single" w:color="333333"/>
        </w:rPr>
        <w:t>7</w:t>
      </w:r>
      <w:r>
        <w:rPr>
          <w:rFonts w:ascii="SimSun" w:eastAsia="SimSun"/>
          <w:color w:val="333333"/>
          <w:sz w:val="21"/>
          <w:u w:val="single" w:color="333333"/>
        </w:rPr>
        <w:t>：</w:t>
      </w:r>
      <w:r>
        <w:rPr>
          <w:rFonts w:ascii="Times New Roman" w:eastAsia="Times New Roman"/>
          <w:color w:val="333333"/>
          <w:sz w:val="21"/>
          <w:u w:val="single" w:color="333333"/>
        </w:rPr>
        <w:t>2026 </w:t>
      </w:r>
      <w:r>
        <w:rPr>
          <w:rFonts w:ascii="SimSun" w:eastAsia="SimSun"/>
          <w:color w:val="333333"/>
          <w:spacing w:val="-1"/>
          <w:sz w:val="21"/>
          <w:u w:val="single" w:color="333333"/>
        </w:rPr>
        <w:t>年安徽省高校物联网应用创新大赛 </w:t>
      </w:r>
      <w:r>
        <w:rPr>
          <w:rFonts w:ascii="Times New Roman" w:eastAsia="Times New Roman"/>
          <w:color w:val="333333"/>
          <w:sz w:val="21"/>
          <w:u w:val="single" w:color="333333"/>
        </w:rPr>
        <w:t>AI </w:t>
      </w:r>
      <w:r>
        <w:rPr>
          <w:rFonts w:ascii="SimSun" w:eastAsia="SimSun"/>
          <w:color w:val="333333"/>
          <w:sz w:val="21"/>
          <w:u w:val="single" w:color="333333"/>
        </w:rPr>
        <w:t>赋能嵌入式技术赛项</w:t>
      </w:r>
      <w:r>
        <w:rPr>
          <w:rFonts w:ascii="Times New Roman" w:eastAsia="Times New Roman"/>
          <w:color w:val="333333"/>
          <w:sz w:val="21"/>
          <w:u w:val="single" w:color="333333"/>
        </w:rPr>
        <w:t>.pdf</w:t>
      </w:r>
    </w:p>
    <w:sectPr>
      <w:pgSz w:w="11910" w:h="16840"/>
      <w:pgMar w:header="0" w:footer="971" w:top="1580" w:bottom="1160" w:left="1417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SimSun">
    <w:altName w:val="SimSun"/>
    <w:charset w:val="1"/>
    <w:family w:val="roman"/>
    <w:pitch w:val="variable"/>
  </w:font>
  <w:font w:name="MingLiU_HKSCS-ExtB">
    <w:altName w:val="MingLiU_HKSCS-ExtB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YaHei">
    <w:altName w:val="Microsoft YaHei"/>
    <w:charset w:val="1"/>
    <w:family w:val="swiss"/>
    <w:pitch w:val="variable"/>
  </w:font>
  <w:font w:name="Microsoft JhengHei">
    <w:altName w:val="Microsoft JhengHei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43264">
              <wp:simplePos x="0" y="0"/>
              <wp:positionH relativeFrom="page">
                <wp:posOffset>3708908</wp:posOffset>
              </wp:positionH>
              <wp:positionV relativeFrom="page">
                <wp:posOffset>9935591</wp:posOffset>
              </wp:positionV>
              <wp:extent cx="141605" cy="1397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4160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03" w:lineRule="exact" w:before="0"/>
                            <w:ind w:left="20" w:right="0" w:firstLine="0"/>
                            <w:jc w:val="left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92.040009pt;margin-top:782.330017pt;width:11.15pt;height:11pt;mso-position-horizontal-relative:page;mso-position-vertical-relative:page;z-index:-16073216" type="#_x0000_t202" id="docshape1" filled="false" stroked="false">
              <v:textbox inset="0,0,0,0">
                <w:txbxContent>
                  <w:p>
                    <w:pPr>
                      <w:spacing w:line="203" w:lineRule="exact" w:before="0"/>
                      <w:ind w:left="20" w:right="0" w:firstLine="0"/>
                      <w:jc w:val="left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instrText> PAGE </w:instrTex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>10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318" w:hanging="212"/>
        <w:jc w:val="left"/>
      </w:pPr>
      <w:rPr>
        <w:rFonts w:hint="default" w:ascii="MingLiU_HKSCS-ExtB" w:hAnsi="MingLiU_HKSCS-ExtB" w:eastAsia="MingLiU_HKSCS-ExtB" w:cs="MingLiU_HKSCS-ExtB"/>
        <w:b w:val="0"/>
        <w:bCs w:val="0"/>
        <w:i w:val="0"/>
        <w:iCs w:val="0"/>
        <w:spacing w:val="-2"/>
        <w:w w:val="99"/>
        <w:sz w:val="19"/>
        <w:szCs w:val="19"/>
        <w:lang w:val="en-US" w:eastAsia="zh-CN" w:bidi="ar-SA"/>
      </w:rPr>
    </w:lvl>
    <w:lvl w:ilvl="1">
      <w:start w:val="0"/>
      <w:numFmt w:val="bullet"/>
      <w:lvlText w:val="•"/>
      <w:lvlJc w:val="left"/>
      <w:pPr>
        <w:ind w:left="768" w:hanging="212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1217" w:hanging="212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1665" w:hanging="212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2114" w:hanging="212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2562" w:hanging="212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3011" w:hanging="212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3459" w:hanging="212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3908" w:hanging="212"/>
      </w:pPr>
      <w:rPr>
        <w:rFonts w:hint="default"/>
        <w:lang w:val="en-US" w:eastAsia="zh-CN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318" w:hanging="212"/>
        <w:jc w:val="left"/>
      </w:pPr>
      <w:rPr>
        <w:rFonts w:hint="default" w:ascii="MingLiU_HKSCS-ExtB" w:hAnsi="MingLiU_HKSCS-ExtB" w:eastAsia="MingLiU_HKSCS-ExtB" w:cs="MingLiU_HKSCS-ExtB"/>
        <w:b w:val="0"/>
        <w:bCs w:val="0"/>
        <w:i w:val="0"/>
        <w:iCs w:val="0"/>
        <w:spacing w:val="-2"/>
        <w:w w:val="99"/>
        <w:sz w:val="19"/>
        <w:szCs w:val="19"/>
        <w:lang w:val="en-US" w:eastAsia="zh-CN" w:bidi="ar-SA"/>
      </w:rPr>
    </w:lvl>
    <w:lvl w:ilvl="1">
      <w:start w:val="0"/>
      <w:numFmt w:val="bullet"/>
      <w:lvlText w:val="•"/>
      <w:lvlJc w:val="left"/>
      <w:pPr>
        <w:ind w:left="768" w:hanging="212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1217" w:hanging="212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1665" w:hanging="212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2114" w:hanging="212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2562" w:hanging="212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3011" w:hanging="212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3459" w:hanging="212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3908" w:hanging="212"/>
      </w:pPr>
      <w:rPr>
        <w:rFonts w:hint="default"/>
        <w:lang w:val="en-US" w:eastAsia="zh-CN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7" w:hanging="212"/>
        <w:jc w:val="left"/>
      </w:pPr>
      <w:rPr>
        <w:rFonts w:hint="default" w:ascii="MingLiU_HKSCS-ExtB" w:hAnsi="MingLiU_HKSCS-ExtB" w:eastAsia="MingLiU_HKSCS-ExtB" w:cs="MingLiU_HKSCS-ExtB"/>
        <w:b w:val="0"/>
        <w:bCs w:val="0"/>
        <w:i w:val="0"/>
        <w:iCs w:val="0"/>
        <w:spacing w:val="-2"/>
        <w:w w:val="99"/>
        <w:sz w:val="19"/>
        <w:szCs w:val="19"/>
        <w:lang w:val="en-US" w:eastAsia="zh-CN" w:bidi="ar-SA"/>
      </w:rPr>
    </w:lvl>
    <w:lvl w:ilvl="1">
      <w:start w:val="0"/>
      <w:numFmt w:val="bullet"/>
      <w:lvlText w:val="•"/>
      <w:lvlJc w:val="left"/>
      <w:pPr>
        <w:ind w:left="570" w:hanging="212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1041" w:hanging="212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1511" w:hanging="212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1982" w:hanging="212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2452" w:hanging="212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2923" w:hanging="212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3393" w:hanging="212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3864" w:hanging="212"/>
      </w:pPr>
      <w:rPr>
        <w:rFonts w:hint="default"/>
        <w:lang w:val="en-US" w:eastAsia="zh-CN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YaHei" w:hAnsi="Microsoft YaHei" w:eastAsia="Microsoft YaHei" w:cs="Microsoft YaHei"/>
      <w:lang w:val="en-US" w:eastAsia="zh-CN" w:bidi="ar-SA"/>
    </w:rPr>
  </w:style>
  <w:style w:styleId="BodyText" w:type="paragraph">
    <w:name w:val="Body Text"/>
    <w:basedOn w:val="Normal"/>
    <w:uiPriority w:val="1"/>
    <w:qFormat/>
    <w:pPr>
      <w:ind w:left="383"/>
    </w:pPr>
    <w:rPr>
      <w:rFonts w:ascii="Microsoft YaHei" w:hAnsi="Microsoft YaHei" w:eastAsia="Microsoft YaHei" w:cs="Microsoft YaHei"/>
      <w:sz w:val="28"/>
      <w:szCs w:val="28"/>
      <w:lang w:val="en-US" w:eastAsia="zh-CN" w:bidi="ar-SA"/>
    </w:rPr>
  </w:style>
  <w:style w:styleId="Heading1" w:type="paragraph">
    <w:name w:val="Heading 1"/>
    <w:basedOn w:val="Normal"/>
    <w:uiPriority w:val="1"/>
    <w:qFormat/>
    <w:pPr>
      <w:spacing w:before="449"/>
      <w:ind w:left="383"/>
      <w:outlineLvl w:val="1"/>
    </w:pPr>
    <w:rPr>
      <w:rFonts w:ascii="Microsoft YaHei" w:hAnsi="Microsoft YaHei" w:eastAsia="Microsoft YaHei" w:cs="Microsoft YaHei"/>
      <w:b/>
      <w:bCs/>
      <w:sz w:val="30"/>
      <w:szCs w:val="30"/>
      <w:lang w:val="en-US" w:eastAsia="zh-CN" w:bidi="ar-SA"/>
    </w:rPr>
  </w:style>
  <w:style w:styleId="Heading2" w:type="paragraph">
    <w:name w:val="Heading 2"/>
    <w:basedOn w:val="Normal"/>
    <w:uiPriority w:val="1"/>
    <w:qFormat/>
    <w:pPr>
      <w:ind w:left="383"/>
      <w:outlineLvl w:val="2"/>
    </w:pPr>
    <w:rPr>
      <w:rFonts w:ascii="Microsoft YaHei" w:hAnsi="Microsoft YaHei" w:eastAsia="Microsoft YaHei" w:cs="Microsoft YaHei"/>
      <w:b/>
      <w:bCs/>
      <w:sz w:val="28"/>
      <w:szCs w:val="28"/>
      <w:lang w:val="en-US" w:eastAsia="zh-CN" w:bidi="ar-SA"/>
    </w:rPr>
  </w:style>
  <w:style w:styleId="Title" w:type="paragraph">
    <w:name w:val="Title"/>
    <w:basedOn w:val="Normal"/>
    <w:uiPriority w:val="1"/>
    <w:qFormat/>
    <w:pPr>
      <w:spacing w:line="546" w:lineRule="exact"/>
      <w:ind w:right="1"/>
      <w:jc w:val="center"/>
    </w:pPr>
    <w:rPr>
      <w:rFonts w:ascii="Microsoft JhengHei" w:hAnsi="Microsoft JhengHei" w:eastAsia="Microsoft JhengHei" w:cs="Microsoft JhengHei"/>
      <w:b/>
      <w:bCs/>
      <w:sz w:val="36"/>
      <w:szCs w:val="36"/>
      <w:lang w:val="en-US" w:eastAsia="zh-CN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zh-CN" w:bidi="ar-SA"/>
    </w:rPr>
  </w:style>
  <w:style w:styleId="TableParagraph" w:type="paragraph">
    <w:name w:val="Table Paragraph"/>
    <w:basedOn w:val="Normal"/>
    <w:uiPriority w:val="1"/>
    <w:qFormat/>
    <w:pPr/>
    <w:rPr>
      <w:rFonts w:ascii="Microsoft YaHei" w:hAnsi="Microsoft YaHei" w:eastAsia="Microsoft YaHei" w:cs="Microsoft YaHei"/>
      <w:lang w:val="en-US" w:eastAsia="zh-CN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mailto:ahes_contest@163.com" TargetMode="External"/><Relationship Id="rId7" Type="http://schemas.openxmlformats.org/officeDocument/2006/relationships/hyperlink" Target="http://www.acf.org.cn/" TargetMode="Externa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2026-04-10T04:37:57Z</dcterms:created>
  <dcterms:modified xsi:type="dcterms:W3CDTF">2026-04-10T04:37:57Z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2026-04-10T00:00:00Z</vt:filetime>
  </property>
  <property fmtid="{D5CDD505-2E9C-101B-9397-08002B2CF9AE}" pid="3" name="LastSaved">
    <vt:filetime>2026-04-10T00:00:00Z</vt:filetime>
  </property>
</Properties>
</file>